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D18D" w14:textId="71C544FC" w:rsidR="00A45C8A" w:rsidRPr="00A66DEC" w:rsidRDefault="00A45C8A" w:rsidP="00A45C8A">
      <w:pPr>
        <w:shd w:val="clear" w:color="auto" w:fill="BFBFBF"/>
        <w:spacing w:before="24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OPIS PRZEDMIOTU ZAMÓWIENIA</w:t>
      </w:r>
    </w:p>
    <w:p w14:paraId="2CF16CFC" w14:textId="6438127C" w:rsidR="007527A3" w:rsidRDefault="005F18D7" w:rsidP="007527A3">
      <w:pPr>
        <w:jc w:val="both"/>
      </w:pPr>
      <w:r w:rsidRPr="005F18D7">
        <w:t>Sukcesywna dostawa oleju opałowego dla potrzeb jednostek organizacyjnych Powiatu Włocławskiego oraz Powiatowego Urzędu Pracy we Włocławku</w:t>
      </w:r>
      <w:r>
        <w:t>.</w:t>
      </w:r>
    </w:p>
    <w:p w14:paraId="68768D6B" w14:textId="33DD8886" w:rsidR="007527A3" w:rsidRDefault="00731BC3" w:rsidP="007527A3">
      <w:pPr>
        <w:jc w:val="both"/>
      </w:pPr>
      <w:r>
        <w:t>Przedmiotem zamówienia jest s</w:t>
      </w:r>
      <w:r w:rsidR="007527A3">
        <w:t>ukcesywn</w:t>
      </w:r>
      <w:r>
        <w:t>a</w:t>
      </w:r>
      <w:r w:rsidR="007527A3">
        <w:t xml:space="preserve"> dostaw</w:t>
      </w:r>
      <w:r>
        <w:t>a</w:t>
      </w:r>
      <w:r w:rsidR="007527A3">
        <w:t xml:space="preserve"> oleju opałowego lekkiego dla potrzeb podległych powiatowych jednostek organizacyjnych</w:t>
      </w:r>
      <w:r>
        <w:t xml:space="preserve"> w planowanej całkowitej ilości </w:t>
      </w:r>
      <w:r w:rsidR="007527A3">
        <w:t xml:space="preserve">ok. </w:t>
      </w:r>
      <w:r w:rsidR="005F18D7">
        <w:t>6</w:t>
      </w:r>
      <w:r w:rsidR="00C43567">
        <w:t>07</w:t>
      </w:r>
      <w:r w:rsidR="005F18D7">
        <w:t>.000,00</w:t>
      </w:r>
      <w:r w:rsidR="007527A3">
        <w:t xml:space="preserve"> l</w:t>
      </w:r>
      <w:r>
        <w:t xml:space="preserve">. </w:t>
      </w:r>
      <w:r w:rsidR="007527A3">
        <w:t xml:space="preserve"> </w:t>
      </w:r>
      <w:r w:rsidRPr="00731BC3">
        <w:t>Oferowany przez Wykonawcę olej musi spełniać wymagania obowiązującej normy</w:t>
      </w:r>
      <w:r>
        <w:t xml:space="preserve"> </w:t>
      </w:r>
      <w:r w:rsidR="005F18D7" w:rsidRPr="005F18D7">
        <w:t>PN-C-96024.2020-12 „Przetwory naftowe. Oleje opałowe”</w:t>
      </w:r>
      <w:r w:rsidR="005F18D7">
        <w:t xml:space="preserve"> </w:t>
      </w:r>
      <w:r w:rsidR="007527A3">
        <w:t>i spełniają następujące wymagania:</w:t>
      </w:r>
    </w:p>
    <w:tbl>
      <w:tblPr>
        <w:tblW w:w="922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1984"/>
        <w:gridCol w:w="1559"/>
        <w:gridCol w:w="160"/>
      </w:tblGrid>
      <w:tr w:rsidR="002E6E28" w:rsidRPr="00B24A62" w14:paraId="1172EF7A" w14:textId="77777777" w:rsidTr="002360F0">
        <w:trPr>
          <w:gridAfter w:val="1"/>
          <w:wAfter w:w="160" w:type="dxa"/>
          <w:trHeight w:val="285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8B49"/>
            <w:vAlign w:val="center"/>
            <w:hideMark/>
          </w:tcPr>
          <w:p w14:paraId="26037A47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B24A62">
              <w:rPr>
                <w:rFonts w:eastAsia="Times New Roman" w:cs="Calibri"/>
                <w:b/>
                <w:bCs/>
                <w:color w:val="FFFFFF"/>
                <w:lang w:eastAsia="pl-PL"/>
              </w:rPr>
              <w:t>Właściwości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8B49"/>
            <w:vAlign w:val="center"/>
            <w:hideMark/>
          </w:tcPr>
          <w:p w14:paraId="6E76CF68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B24A62">
              <w:rPr>
                <w:rFonts w:eastAsia="Times New Roman" w:cs="Calibri"/>
                <w:b/>
                <w:bCs/>
                <w:color w:val="FFFFFF"/>
                <w:lang w:eastAsia="pl-PL"/>
              </w:rPr>
              <w:t>Wartość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8B49"/>
            <w:vAlign w:val="center"/>
            <w:hideMark/>
          </w:tcPr>
          <w:p w14:paraId="5EFFABE9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lang w:eastAsia="pl-PL"/>
              </w:rPr>
            </w:pPr>
            <w:r w:rsidRPr="00B24A62">
              <w:rPr>
                <w:rFonts w:eastAsia="Times New Roman" w:cs="Calibri"/>
                <w:b/>
                <w:bCs/>
                <w:color w:val="FFFFFF"/>
                <w:lang w:eastAsia="pl-PL"/>
              </w:rPr>
              <w:t>Jednostka</w:t>
            </w:r>
          </w:p>
        </w:tc>
      </w:tr>
      <w:tr w:rsidR="002E6E28" w:rsidRPr="00B24A62" w14:paraId="0AAD9184" w14:textId="77777777" w:rsidTr="002360F0">
        <w:trPr>
          <w:gridAfter w:val="1"/>
          <w:wAfter w:w="160" w:type="dxa"/>
          <w:trHeight w:val="509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0159C908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Wartość opałowa nie niższa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6C81E3BD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42 000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4E0AAD77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B24A62">
              <w:rPr>
                <w:rFonts w:eastAsia="Times New Roman" w:cs="Calibri"/>
                <w:lang w:eastAsia="pl-PL"/>
              </w:rPr>
              <w:t>kJ</w:t>
            </w:r>
            <w:proofErr w:type="spellEnd"/>
            <w:r w:rsidRPr="00B24A62">
              <w:rPr>
                <w:rFonts w:eastAsia="Times New Roman" w:cs="Calibri"/>
                <w:lang w:eastAsia="pl-PL"/>
              </w:rPr>
              <w:t>/kg</w:t>
            </w:r>
          </w:p>
        </w:tc>
      </w:tr>
      <w:tr w:rsidR="002E6E28" w:rsidRPr="00B24A62" w14:paraId="6086D39F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41BEB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FCB3A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46D80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A40A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60187F4D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2F71593F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Temp. zapłonu nie niższa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2A79A19A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17395103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°C</w:t>
            </w:r>
          </w:p>
        </w:tc>
        <w:tc>
          <w:tcPr>
            <w:tcW w:w="160" w:type="dxa"/>
            <w:vAlign w:val="center"/>
            <w:hideMark/>
          </w:tcPr>
          <w:p w14:paraId="0CE59F2F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32099959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893C7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9F4DC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38545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90BD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285CD67C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354CBA62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Gęstość w temp. 15°C nie wyższa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5B970D47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0,86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4CE5482A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g/ml</w:t>
            </w:r>
          </w:p>
        </w:tc>
        <w:tc>
          <w:tcPr>
            <w:tcW w:w="160" w:type="dxa"/>
            <w:vAlign w:val="center"/>
            <w:hideMark/>
          </w:tcPr>
          <w:p w14:paraId="130E5844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43EDB6B3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2C37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5F34E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3A916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A235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09CDB71C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1186DD01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Temperatura płynięcia nie wyższa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7DD91905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-20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0CA1D4B9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°C</w:t>
            </w:r>
          </w:p>
        </w:tc>
        <w:tc>
          <w:tcPr>
            <w:tcW w:w="160" w:type="dxa"/>
            <w:vAlign w:val="center"/>
            <w:hideMark/>
          </w:tcPr>
          <w:p w14:paraId="376A7315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72493E46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675C7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12D83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BA260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2805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5ED5C926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7EE70A4C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Lepkość kinematyczna w temp. 20°C nie większa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00830405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3D3DD16A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mm</w:t>
            </w:r>
            <w:r w:rsidRPr="00B24A62">
              <w:rPr>
                <w:rFonts w:eastAsia="Times New Roman" w:cs="Calibri"/>
                <w:color w:val="000000"/>
                <w:vertAlign w:val="superscript"/>
                <w:lang w:eastAsia="pl-PL"/>
              </w:rPr>
              <w:t>2</w:t>
            </w:r>
            <w:r w:rsidRPr="00B24A62">
              <w:rPr>
                <w:rFonts w:eastAsia="Times New Roman" w:cs="Calibri"/>
                <w:color w:val="000000"/>
                <w:lang w:eastAsia="pl-PL"/>
              </w:rPr>
              <w:t>/s</w:t>
            </w:r>
          </w:p>
        </w:tc>
        <w:tc>
          <w:tcPr>
            <w:tcW w:w="160" w:type="dxa"/>
            <w:vAlign w:val="center"/>
            <w:hideMark/>
          </w:tcPr>
          <w:p w14:paraId="07979FB0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4A23EA91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2A912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CF173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7C7C8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8FF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3FA79F10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5EEAA74C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Skład frakcyjny do 250°C destyluje nie więcej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6B20FAA7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6B3CD605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%(V/V)</w:t>
            </w:r>
          </w:p>
        </w:tc>
        <w:tc>
          <w:tcPr>
            <w:tcW w:w="160" w:type="dxa"/>
            <w:vAlign w:val="center"/>
            <w:hideMark/>
          </w:tcPr>
          <w:p w14:paraId="17EB79AD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328220AF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E1204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5D7D5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5B895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FA6D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717885AD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452CA16E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Skład frakcyjny do 350°C destyluje nie mniej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5C39DA37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32756758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%(V/V)</w:t>
            </w:r>
          </w:p>
        </w:tc>
        <w:tc>
          <w:tcPr>
            <w:tcW w:w="160" w:type="dxa"/>
            <w:vAlign w:val="center"/>
            <w:hideMark/>
          </w:tcPr>
          <w:p w14:paraId="5D0A5C01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470FCDBE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D2C98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488AE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C3D4D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6E64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618920DA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4454BC94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Zawartość wody nie większa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01D34958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200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21B164B3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mg/kg</w:t>
            </w:r>
          </w:p>
        </w:tc>
        <w:tc>
          <w:tcPr>
            <w:tcW w:w="160" w:type="dxa"/>
            <w:vAlign w:val="center"/>
            <w:hideMark/>
          </w:tcPr>
          <w:p w14:paraId="2D70F58E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014E42C1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E23FC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75DC0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47B79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9A04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485ED1C9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32639B8A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Zawartość siarki nie więcej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3252C42B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0,2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2C3C6C18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%(m/m)</w:t>
            </w:r>
          </w:p>
        </w:tc>
        <w:tc>
          <w:tcPr>
            <w:tcW w:w="160" w:type="dxa"/>
            <w:vAlign w:val="center"/>
            <w:hideMark/>
          </w:tcPr>
          <w:p w14:paraId="250B94F9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7A41C75C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2EC7D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75F1D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89DFF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1DE5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28EAAE04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488A0736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Zawartość stałych ciał obcych nie większa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724386F2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239CD412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mg/Kg</w:t>
            </w:r>
          </w:p>
        </w:tc>
        <w:tc>
          <w:tcPr>
            <w:tcW w:w="160" w:type="dxa"/>
            <w:vAlign w:val="center"/>
            <w:hideMark/>
          </w:tcPr>
          <w:p w14:paraId="52808E94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7422EE29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298A8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750A1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0408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950E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4818C4DD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7B177DF2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 xml:space="preserve">Pozostałość po koksowaniu w 10% poz. </w:t>
            </w:r>
            <w:proofErr w:type="spellStart"/>
            <w:r w:rsidRPr="00B24A62">
              <w:rPr>
                <w:rFonts w:eastAsia="Times New Roman" w:cs="Calibri"/>
                <w:lang w:eastAsia="pl-PL"/>
              </w:rPr>
              <w:t>dest</w:t>
            </w:r>
            <w:proofErr w:type="spellEnd"/>
            <w:r w:rsidRPr="00B24A62">
              <w:rPr>
                <w:rFonts w:eastAsia="Times New Roman" w:cs="Calibri"/>
                <w:lang w:eastAsia="pl-PL"/>
              </w:rPr>
              <w:t>. nie wyższa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4F47B236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0,3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9E9"/>
            <w:vAlign w:val="center"/>
            <w:hideMark/>
          </w:tcPr>
          <w:p w14:paraId="0C8CA0DB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%(m/m)</w:t>
            </w:r>
          </w:p>
        </w:tc>
        <w:tc>
          <w:tcPr>
            <w:tcW w:w="160" w:type="dxa"/>
            <w:vAlign w:val="center"/>
            <w:hideMark/>
          </w:tcPr>
          <w:p w14:paraId="0A039FDE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47A3F54E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3B7B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7DEC8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A9DA8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31BD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484BB7A2" w14:textId="77777777" w:rsidTr="002360F0">
        <w:trPr>
          <w:trHeight w:val="285"/>
        </w:trPr>
        <w:tc>
          <w:tcPr>
            <w:tcW w:w="5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78067C69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Pozostałość po spopieleniu nie większa niż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2BDFC880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0,01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431B8FD2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%(m/m)</w:t>
            </w:r>
          </w:p>
        </w:tc>
        <w:tc>
          <w:tcPr>
            <w:tcW w:w="160" w:type="dxa"/>
            <w:vAlign w:val="center"/>
            <w:hideMark/>
          </w:tcPr>
          <w:p w14:paraId="13694368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E6E28" w:rsidRPr="00B24A62" w14:paraId="408D54EA" w14:textId="77777777" w:rsidTr="002360F0">
        <w:trPr>
          <w:trHeight w:val="285"/>
        </w:trPr>
        <w:tc>
          <w:tcPr>
            <w:tcW w:w="5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AD4D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52895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2AC28" w14:textId="77777777" w:rsidR="002E6E28" w:rsidRPr="00B24A62" w:rsidRDefault="002E6E28" w:rsidP="002360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2DB6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2E6E28" w:rsidRPr="00B24A62" w14:paraId="447F4280" w14:textId="77777777" w:rsidTr="002360F0">
        <w:trPr>
          <w:trHeight w:val="285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3D3"/>
            <w:vAlign w:val="center"/>
            <w:hideMark/>
          </w:tcPr>
          <w:p w14:paraId="08FF7EE3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Barwa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5D3D3"/>
            <w:vAlign w:val="center"/>
            <w:hideMark/>
          </w:tcPr>
          <w:p w14:paraId="4CB37C4B" w14:textId="77777777" w:rsidR="002E6E28" w:rsidRPr="00B24A62" w:rsidRDefault="002E6E28" w:rsidP="002360F0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24A62">
              <w:rPr>
                <w:rFonts w:eastAsia="Times New Roman" w:cs="Calibri"/>
                <w:lang w:eastAsia="pl-PL"/>
              </w:rPr>
              <w:t>czerwona</w:t>
            </w:r>
          </w:p>
        </w:tc>
        <w:tc>
          <w:tcPr>
            <w:tcW w:w="160" w:type="dxa"/>
            <w:vAlign w:val="center"/>
            <w:hideMark/>
          </w:tcPr>
          <w:p w14:paraId="1CB41B12" w14:textId="77777777" w:rsidR="002E6E28" w:rsidRPr="00B24A62" w:rsidRDefault="002E6E28" w:rsidP="002360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2FC9B60" w14:textId="5D1DAFB0" w:rsidR="007527A3" w:rsidRDefault="00731BC3" w:rsidP="007527A3">
      <w:pPr>
        <w:jc w:val="both"/>
      </w:pPr>
      <w:r w:rsidRPr="00731BC3">
        <w:t>W przypadku zmiany norm i minimalnych wymagań jakościowych przedmiot dostawy powinien posiadać jakość uwzględniającą takie zmiany od dnia ich obowiązywania.</w:t>
      </w:r>
    </w:p>
    <w:p w14:paraId="5EBCEB24" w14:textId="7B0B68FF" w:rsidR="00731BC3" w:rsidRDefault="007527A3" w:rsidP="007527A3">
      <w:pPr>
        <w:jc w:val="both"/>
      </w:pPr>
      <w:r>
        <w:t xml:space="preserve">Dostawy będą realizowane sukcesywnie, etapami, według </w:t>
      </w:r>
      <w:r w:rsidR="00283344">
        <w:t>potrzeb Zamawiającego</w:t>
      </w:r>
      <w:r w:rsidR="00731BC3">
        <w:t xml:space="preserve"> w</w:t>
      </w:r>
      <w:r w:rsidR="00283344">
        <w:t xml:space="preserve"> ilościach </w:t>
      </w:r>
      <w:r>
        <w:t xml:space="preserve">i </w:t>
      </w:r>
      <w:r w:rsidR="00731BC3">
        <w:t xml:space="preserve">do </w:t>
      </w:r>
      <w:r>
        <w:t>miejsc</w:t>
      </w:r>
      <w:r w:rsidR="00731BC3">
        <w:t xml:space="preserve"> </w:t>
      </w:r>
      <w:r>
        <w:t xml:space="preserve"> wyznaczonych przez Zamawiającego na pods</w:t>
      </w:r>
      <w:r w:rsidR="00283344">
        <w:t xml:space="preserve">tawie zamówienia </w:t>
      </w:r>
      <w:r w:rsidR="002E6E28">
        <w:t xml:space="preserve"> telefonicznego potwierdzonego drogą </w:t>
      </w:r>
      <w:r w:rsidR="006D359D">
        <w:t>mailow</w:t>
      </w:r>
      <w:r w:rsidR="002E6E28">
        <w:t>ą</w:t>
      </w:r>
      <w:r>
        <w:t xml:space="preserve"> złożonego z czasem dostawy wynikającym</w:t>
      </w:r>
      <w:r w:rsidRPr="005F18D7">
        <w:t xml:space="preserve"> ze złożonej </w:t>
      </w:r>
      <w:r w:rsidR="00283344" w:rsidRPr="005F18D7">
        <w:t xml:space="preserve">oferty, nie dłuższym jednak niż </w:t>
      </w:r>
      <w:r w:rsidRPr="005F18D7">
        <w:t>5 dni</w:t>
      </w:r>
      <w:r>
        <w:t xml:space="preserve">. </w:t>
      </w:r>
    </w:p>
    <w:p w14:paraId="7FC7ECA1" w14:textId="353B1EED" w:rsidR="002A6F9A" w:rsidRDefault="002A6F9A" w:rsidP="007527A3">
      <w:pPr>
        <w:jc w:val="both"/>
      </w:pPr>
      <w:r>
        <w:t>Miejsca dostaw przedmiotu zamówienia, wyznaczone przez Zamawiającego: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926"/>
        <w:gridCol w:w="1701"/>
      </w:tblGrid>
      <w:tr w:rsidR="00563705" w:rsidRPr="006F3F90" w14:paraId="036FB9FF" w14:textId="77777777" w:rsidTr="002360F0">
        <w:trPr>
          <w:trHeight w:val="8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8BF73F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98EE6C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Jednostka organizacyjna powiatu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oraz miejsce dostawy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1FF8A76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Planowana ilość oleju opałowego w litrach</w:t>
            </w:r>
          </w:p>
        </w:tc>
      </w:tr>
      <w:tr w:rsidR="00563705" w:rsidRPr="006F3F90" w14:paraId="4D7BFE9D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190A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97AF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Wydział Zarządzania, Administracji i Bezpieczeństwa, ul. Cyganka 28, 87-800 Włocławek,</w:t>
            </w:r>
            <w:r>
              <w:t xml:space="preserve"> </w:t>
            </w:r>
            <w:r w:rsidRPr="00ED77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(miejsce dostawy-Budynek mieszkalny i administracyjny w miejscowości Brzezie, Brzezie 35C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E292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12000,00</w:t>
            </w:r>
          </w:p>
        </w:tc>
      </w:tr>
      <w:tr w:rsidR="00563705" w:rsidRPr="006F3F90" w14:paraId="45A839EB" w14:textId="77777777" w:rsidTr="002360F0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A561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33A2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Dom Pomocy Społecznej w Wilkowiczkach, Wilkowiczki 25,  87-850 Choceń,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CEF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150000,00</w:t>
            </w:r>
          </w:p>
        </w:tc>
      </w:tr>
      <w:tr w:rsidR="00563705" w:rsidRPr="006F3F90" w14:paraId="67E27B51" w14:textId="77777777" w:rsidTr="002360F0">
        <w:trPr>
          <w:trHeight w:val="5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D831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B841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Dom Pomocy Społecznej w Kowalu, ul. Kopernika 19, 87-820 Kowal,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5108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120000,00</w:t>
            </w:r>
          </w:p>
        </w:tc>
      </w:tr>
      <w:tr w:rsidR="00563705" w:rsidRPr="006F3F90" w14:paraId="19CCF720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C357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68B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Dom Pomocy Społecznej w Rzeżewie, Rzeżewo, 87-840 Lubień Kujawski,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8BD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50000,00</w:t>
            </w:r>
          </w:p>
        </w:tc>
      </w:tr>
      <w:tr w:rsidR="00563705" w:rsidRPr="006F3F90" w14:paraId="5F04DD1C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3FA5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F8C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Dom Pomocy Społecznej w Kurowie, Kurowo Parcele 44,  87-821 Baruchowo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932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84000,00</w:t>
            </w:r>
          </w:p>
        </w:tc>
      </w:tr>
      <w:tr w:rsidR="00563705" w:rsidRPr="006F3F90" w14:paraId="72089440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7561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DE5" w14:textId="3F4CF674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Powiatowe Centrum Kształcenia Zawodowego i Ustawicznego w </w:t>
            </w:r>
            <w:proofErr w:type="spellStart"/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Chodczu</w:t>
            </w:r>
            <w:proofErr w:type="spellEnd"/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, ul. Włocławska 7, 87-860 Chodecz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400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54000,00</w:t>
            </w:r>
          </w:p>
        </w:tc>
      </w:tr>
      <w:tr w:rsidR="00563705" w:rsidRPr="006F3F90" w14:paraId="1BCC4C53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5A8D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471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Zespół Szkół im. Marii Grodzickiej w Lubrańcu-Marysinie, 87-890 Lubraniec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822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40000,00</w:t>
            </w:r>
          </w:p>
        </w:tc>
      </w:tr>
      <w:tr w:rsidR="00563705" w:rsidRPr="006F3F90" w14:paraId="38251F00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DC2E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83E4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Powiatowy Zarząd Dróg we Włocławku z/s w Jarantowicach, Jarantowice, 87-850 Choceń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77A0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18000,00</w:t>
            </w:r>
          </w:p>
        </w:tc>
      </w:tr>
      <w:tr w:rsidR="00563705" w:rsidRPr="006F3F90" w14:paraId="6C6F0764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FBB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C68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Powiatowy Urząd Pracy we Włocławku, ul. Kapitulna 24, 87-800 Włocławek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9D2" w14:textId="08C3CA52" w:rsidR="00563705" w:rsidRPr="006F3F90" w:rsidRDefault="00C43567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27</w:t>
            </w:r>
            <w:r w:rsidR="00563705"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000,00</w:t>
            </w:r>
          </w:p>
        </w:tc>
      </w:tr>
      <w:tr w:rsidR="00563705" w:rsidRPr="006F3F90" w14:paraId="7606AC18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79D1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35BE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Placówka Opiekuńczo - Wychowawcza "Ostoja", ul. Żwirki i Wigury 4A, 87-840 Lubień Kujawski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BE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28000,00</w:t>
            </w:r>
          </w:p>
        </w:tc>
      </w:tr>
      <w:tr w:rsidR="00563705" w:rsidRPr="006F3F90" w14:paraId="14477491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01F6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3446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Placówka Opiekuńczo - Wychowawcza "Przystań", ul. Żwirki i Wigury 4B, 87-840 Lubień Kujawski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4FA6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63705" w:rsidRPr="006F3F90" w14:paraId="2AE19670" w14:textId="77777777" w:rsidTr="002360F0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950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831A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Placówka Opiekuńczo - Wychowawcza "Jaś", Brzezie 35 E, 87-880 Brześć Kujawski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4967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12000,00</w:t>
            </w:r>
          </w:p>
        </w:tc>
      </w:tr>
      <w:tr w:rsidR="00563705" w:rsidRPr="006F3F90" w14:paraId="6B0FFD01" w14:textId="77777777" w:rsidTr="002360F0">
        <w:trPr>
          <w:trHeight w:val="43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0C00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1BA6" w14:textId="77777777" w:rsidR="00563705" w:rsidRPr="006F3F90" w:rsidRDefault="00563705" w:rsidP="002360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Placówka Opiekuńczo - Wychowawcza "Małgosia", Brzezie 35 D, 87-880 Brześć Kujawski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A7FB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6F3F9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12000,00</w:t>
            </w:r>
          </w:p>
        </w:tc>
      </w:tr>
      <w:tr w:rsidR="00563705" w:rsidRPr="006F3F90" w14:paraId="0F90E751" w14:textId="77777777" w:rsidTr="002360F0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11BD" w14:textId="77777777" w:rsidR="00563705" w:rsidRPr="006F3F90" w:rsidRDefault="00563705" w:rsidP="002360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B9A" w14:textId="77777777" w:rsidR="00563705" w:rsidRPr="006F3F90" w:rsidRDefault="00563705" w:rsidP="002360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</w:pPr>
            <w:r w:rsidRPr="006F3F90"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Podsumowanie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D18C" w14:textId="2B6AD907" w:rsidR="00563705" w:rsidRPr="006F3F90" w:rsidRDefault="00563705" w:rsidP="002360F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</w:pPr>
            <w:r w:rsidRPr="006F3F90"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6</w:t>
            </w:r>
            <w:r w:rsidR="00C43567"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07</w:t>
            </w:r>
            <w:r w:rsidRPr="006F3F90">
              <w:rPr>
                <w:rFonts w:eastAsia="Times New Roman" w:cs="Calibri"/>
                <w:b/>
                <w:bCs/>
                <w:i/>
                <w:iCs/>
                <w:color w:val="000000"/>
                <w:lang w:eastAsia="pl-PL"/>
              </w:rPr>
              <w:t>000,00</w:t>
            </w:r>
          </w:p>
        </w:tc>
      </w:tr>
    </w:tbl>
    <w:p w14:paraId="381E3FBE" w14:textId="77777777" w:rsidR="002A6F9A" w:rsidRDefault="002A6F9A" w:rsidP="007527A3">
      <w:pPr>
        <w:jc w:val="both"/>
      </w:pPr>
    </w:p>
    <w:p w14:paraId="3C324C36" w14:textId="63EB8E3F" w:rsidR="006D359D" w:rsidRDefault="007527A3" w:rsidP="007527A3">
      <w:pPr>
        <w:jc w:val="both"/>
      </w:pPr>
      <w:r>
        <w:t>Zamawiający nie będzie ponosił żadnych</w:t>
      </w:r>
      <w:r w:rsidR="00283344">
        <w:t xml:space="preserve"> innych kosztów, </w:t>
      </w:r>
      <w:r>
        <w:t>oprócz wymienionych przez Wykonawców w złożonych</w:t>
      </w:r>
      <w:r w:rsidR="00283344">
        <w:t xml:space="preserve"> ofertach. Przedmiot zamówienia </w:t>
      </w:r>
      <w:r>
        <w:t>obejmuje również transport, załadunek i rozładunek oleju opało</w:t>
      </w:r>
      <w:r w:rsidR="00283344">
        <w:t xml:space="preserve">wego. Określone w tabeli ilości </w:t>
      </w:r>
      <w:r>
        <w:t xml:space="preserve">należy traktować jako </w:t>
      </w:r>
      <w:r w:rsidRPr="005F18D7">
        <w:t xml:space="preserve">maksymalne, </w:t>
      </w:r>
      <w:r>
        <w:t>przy czym ewentualne możliwości</w:t>
      </w:r>
      <w:r w:rsidR="00283344">
        <w:t xml:space="preserve"> zmiany zakresu (ilości) </w:t>
      </w:r>
      <w:r>
        <w:t>wynikają z warunków pogodowych, na które Zamawiają</w:t>
      </w:r>
      <w:r w:rsidR="00283344">
        <w:t xml:space="preserve">cy i Wykonawcy nie mają wpływu. </w:t>
      </w:r>
      <w:r>
        <w:t>Niewykorzystanie ilości oleju z tego tytułu nie będzie powodow</w:t>
      </w:r>
      <w:r w:rsidR="00283344">
        <w:t xml:space="preserve">ało roszczeń ze strony Dostawcy </w:t>
      </w:r>
      <w:r>
        <w:t>względem Zamawiającego. Zamawiający zastrzega sobie pra</w:t>
      </w:r>
      <w:r w:rsidR="00283344">
        <w:t xml:space="preserve">wo do zmniejszenia wielkości </w:t>
      </w:r>
      <w:r>
        <w:t xml:space="preserve">dostaw </w:t>
      </w:r>
      <w:r w:rsidRPr="005F18D7">
        <w:t xml:space="preserve">do 50% </w:t>
      </w:r>
      <w:r>
        <w:t>w stosunku do wielkości szacunkowych poda</w:t>
      </w:r>
      <w:r w:rsidR="00283344">
        <w:t xml:space="preserve">nych powyżej. Ustalony </w:t>
      </w:r>
      <w:r w:rsidR="00283344" w:rsidRPr="005F18D7">
        <w:t xml:space="preserve">parametr </w:t>
      </w:r>
      <w:r w:rsidRPr="005F18D7">
        <w:t xml:space="preserve">50% </w:t>
      </w:r>
      <w:r>
        <w:t>wynika z doświadczeń z lat poprzednich (na podst</w:t>
      </w:r>
      <w:r w:rsidR="00283344">
        <w:t xml:space="preserve">awie zużycia, przy czym warunki </w:t>
      </w:r>
      <w:r>
        <w:t>pogodowe stanowią jedyną zmienną, która może powodować m</w:t>
      </w:r>
      <w:r w:rsidR="00283344">
        <w:t xml:space="preserve">ożliwości zmiany umowy). </w:t>
      </w:r>
      <w:r>
        <w:t>Wykonawca zobowiązany jest należycie zabezpieczyć t</w:t>
      </w:r>
      <w:r w:rsidR="00283344">
        <w:t xml:space="preserve">owar na czas przewozu, za który </w:t>
      </w:r>
      <w:r>
        <w:t>ponosi całkowitą odpowiedzialność. Zapłata następow</w:t>
      </w:r>
      <w:r w:rsidR="00283344">
        <w:t xml:space="preserve">ać będzie przelewem bankowym na </w:t>
      </w:r>
      <w:r>
        <w:t xml:space="preserve">rachunek bankowy Wykonawcy wskazany w fakturze VAT, w </w:t>
      </w:r>
      <w:r w:rsidRPr="002E6E28">
        <w:t xml:space="preserve">terminie </w:t>
      </w:r>
      <w:r w:rsidRPr="002E6E28">
        <w:rPr>
          <w:u w:val="single"/>
        </w:rPr>
        <w:t>do</w:t>
      </w:r>
      <w:r w:rsidR="00283344" w:rsidRPr="002E6E28">
        <w:rPr>
          <w:u w:val="single"/>
        </w:rPr>
        <w:t xml:space="preserve"> 30 dni od</w:t>
      </w:r>
      <w:r w:rsidR="00283344" w:rsidRPr="002E6E28">
        <w:t xml:space="preserve"> </w:t>
      </w:r>
      <w:r w:rsidR="00283344">
        <w:t xml:space="preserve">daty </w:t>
      </w:r>
      <w:r>
        <w:t>otrzymania przez Zamawiającego prawidłowo wysta</w:t>
      </w:r>
      <w:r w:rsidR="00283344">
        <w:t xml:space="preserve">wionej faktury. Pozostałe uwagi </w:t>
      </w:r>
      <w:r>
        <w:t xml:space="preserve">Zamawiającego: Jednorazowo </w:t>
      </w:r>
      <w:r w:rsidRPr="002E6E28">
        <w:t>zamawiana będzie dostaw</w:t>
      </w:r>
      <w:r w:rsidR="00283344" w:rsidRPr="002E6E28">
        <w:t xml:space="preserve">a oleju w granicach </w:t>
      </w:r>
      <w:r w:rsidR="002E6E28" w:rsidRPr="002E6E28">
        <w:t>1</w:t>
      </w:r>
      <w:r w:rsidR="00283344" w:rsidRPr="002E6E28">
        <w:t>000-</w:t>
      </w:r>
      <w:r w:rsidR="002E6E28" w:rsidRPr="002E6E28">
        <w:t>14</w:t>
      </w:r>
      <w:r w:rsidR="00283344" w:rsidRPr="002E6E28">
        <w:t xml:space="preserve">000 l </w:t>
      </w:r>
      <w:r w:rsidRPr="002E6E28">
        <w:t xml:space="preserve">(podana ilość ma charakter szacunkowy, niewiążący). </w:t>
      </w:r>
    </w:p>
    <w:p w14:paraId="0FB95783" w14:textId="68C3C54C" w:rsidR="00623297" w:rsidRDefault="007527A3" w:rsidP="00C42D2C">
      <w:pPr>
        <w:autoSpaceDE w:val="0"/>
        <w:jc w:val="both"/>
      </w:pPr>
      <w:r>
        <w:lastRenderedPageBreak/>
        <w:t>Dostawy będą</w:t>
      </w:r>
      <w:r w:rsidR="00283344">
        <w:t xml:space="preserve"> mogły być </w:t>
      </w:r>
      <w:r>
        <w:t>realizowane w dni robocze od poniedziałku do piątku w godzi</w:t>
      </w:r>
      <w:r w:rsidR="00283344">
        <w:t xml:space="preserve">nach </w:t>
      </w:r>
      <w:r w:rsidR="005E7332">
        <w:t>8</w:t>
      </w:r>
      <w:r w:rsidR="00283344">
        <w:t xml:space="preserve">.00-15.00. </w:t>
      </w:r>
      <w:r>
        <w:t xml:space="preserve">Dniami roboczymi są </w:t>
      </w:r>
      <w:r w:rsidR="00283344">
        <w:t xml:space="preserve">dni od poniedziałku do piątku z </w:t>
      </w:r>
      <w:r>
        <w:t>wyłączeniem dni ustawowo wolnych od pracy.</w:t>
      </w:r>
      <w:r w:rsidR="00283344">
        <w:t xml:space="preserve"> </w:t>
      </w:r>
      <w:r w:rsidR="00F16384" w:rsidRPr="00F16384">
        <w:t>Dostawa odbywać się musi w obecności przedstawiciela danej placówki.</w:t>
      </w:r>
      <w:r w:rsidR="00F16384">
        <w:t xml:space="preserve"> </w:t>
      </w:r>
      <w:r>
        <w:t>Zamawiający zastrzega, że w wyjątkowych sytuacjach, dos</w:t>
      </w:r>
      <w:r w:rsidR="00283344">
        <w:t xml:space="preserve">tawy mogą być realizowane w dni </w:t>
      </w:r>
      <w:r>
        <w:t>wolne od pracy</w:t>
      </w:r>
      <w:r w:rsidR="00AF639A">
        <w:t>, tylko za zgodą obu stron i bez dodatkowej gratyfikacji</w:t>
      </w:r>
      <w:r>
        <w:t xml:space="preserve">. </w:t>
      </w:r>
      <w:r w:rsidR="00AF639A">
        <w:t>Wykonawca zobowiązany jest zapewnić transport oleju opałowego środkami transportu do tego przystosowanymi, tj. autocysterną wyposażoną w legalizowane urządzenia pomiarowe. Przyjmowanie oleju odbywać się będzie w ilościach rzeczywistych (temperatura), z kontrolowaniem jego ilości na podstawie wskazań przepływomierza. Zamawiający ma prawo żądać okazania świadectwa legalizacji licznika autocysterny o numerze zgodnym z numerem seryjnym licznika zainstalowanego w autocysternie, z której będzie dokonywany rozładunek oleju opałowego.</w:t>
      </w:r>
      <w:r w:rsidR="00F16384" w:rsidRPr="00F16384">
        <w:t xml:space="preserve"> Wraz z każdorazową dostawą przedkładane będą świadectwa jakości dostarczonego oleju opałowego, nie później niż </w:t>
      </w:r>
      <w:r w:rsidR="00F16384" w:rsidRPr="00C42D2C">
        <w:t>z fakturą.</w:t>
      </w:r>
      <w:r w:rsidR="00623297" w:rsidRPr="00C42D2C">
        <w:t xml:space="preserve"> Wykonawca zobowiązany będzie do przyjęcia, stosowania i przestrzegania zasad przyjmowania i odbioru przez </w:t>
      </w:r>
      <w:r w:rsidR="00623297" w:rsidRPr="00C42D2C">
        <w:rPr>
          <w:i/>
        </w:rPr>
        <w:t>Zamawiającego</w:t>
      </w:r>
      <w:r w:rsidR="00623297" w:rsidRPr="00C42D2C">
        <w:t xml:space="preserve">  dostaw Oleju zawartych w załączniku nr 1 do </w:t>
      </w:r>
      <w:r w:rsidR="00C42D2C" w:rsidRPr="00C42D2C">
        <w:t xml:space="preserve">wzoru </w:t>
      </w:r>
      <w:r w:rsidR="00623297" w:rsidRPr="00C42D2C">
        <w:t>umowy.</w:t>
      </w:r>
      <w:r w:rsidR="00C42D2C" w:rsidRPr="00C42D2C">
        <w:t xml:space="preserve"> </w:t>
      </w:r>
      <w:r w:rsidR="00623297" w:rsidRPr="00C42D2C">
        <w:t xml:space="preserve">Dokumentem potwierdzającym wykonanie każdorazowej dostawy będzie protokół odbioru Oleju stanowiący załącznik nr 2 do </w:t>
      </w:r>
      <w:r w:rsidR="00C42D2C" w:rsidRPr="00C42D2C">
        <w:t xml:space="preserve">wzoru </w:t>
      </w:r>
      <w:r w:rsidR="00623297" w:rsidRPr="00C42D2C">
        <w:t>umowy, podpisany przez upoważnionych przedstawicieli Zamawiającego i Wykonawcy, określający m.in. ilość dostarczonego Oleju w litrach rzeczywistych, ewentualne pobranie próbek, różnice i inne uwagi.</w:t>
      </w:r>
      <w:r w:rsidR="00C42D2C" w:rsidRPr="00C42D2C">
        <w:t xml:space="preserve"> </w:t>
      </w:r>
      <w:r w:rsidR="00623297" w:rsidRPr="00C42D2C">
        <w:t xml:space="preserve">W przypadku wystąpienia wad jakościowych Oleju, </w:t>
      </w:r>
      <w:r w:rsidR="00623297" w:rsidRPr="00C42D2C">
        <w:rPr>
          <w:i/>
        </w:rPr>
        <w:t>Zamawiający</w:t>
      </w:r>
      <w:r w:rsidR="00623297" w:rsidRPr="00C42D2C">
        <w:t xml:space="preserve"> niezwłocznie złoży pisemną reklamację jakościową.</w:t>
      </w:r>
      <w:r w:rsidR="00C42D2C" w:rsidRPr="00C42D2C">
        <w:t xml:space="preserve"> </w:t>
      </w:r>
      <w:r w:rsidR="00623297" w:rsidRPr="00C42D2C">
        <w:t xml:space="preserve">Podstawą do uznania reklamacji za zasadną jest zbadanie i opinia niezależnego akredytowanego laboratorium posiadającego uprawnienia do badania jakości paliw płynnych. Koszty związane z rozpatrzeniem reklamacji ponosi </w:t>
      </w:r>
      <w:r w:rsidR="00623297" w:rsidRPr="00C42D2C">
        <w:rPr>
          <w:i/>
        </w:rPr>
        <w:t>Wykonawca</w:t>
      </w:r>
      <w:r w:rsidR="00623297" w:rsidRPr="00C42D2C">
        <w:t>.</w:t>
      </w:r>
      <w:r w:rsidR="00C42D2C" w:rsidRPr="00C42D2C">
        <w:t xml:space="preserve"> </w:t>
      </w:r>
      <w:r w:rsidR="00623297" w:rsidRPr="00C42D2C">
        <w:rPr>
          <w:i/>
          <w:color w:val="000000"/>
        </w:rPr>
        <w:t>Zamawiający</w:t>
      </w:r>
      <w:r w:rsidR="00623297" w:rsidRPr="00C42D2C">
        <w:rPr>
          <w:color w:val="000000"/>
        </w:rPr>
        <w:t xml:space="preserve"> w przypadku wystąpienia nieprawidłowości w pracy kotłowni olejowej (np. awarii spowodowanej jakością paliwa) może dokonać badania Oleju w wybranym przez siebie akredytowanym laboratorium uprawnionym do wykonywania takich badań. W przypadku potwierdzenia przez </w:t>
      </w:r>
      <w:r w:rsidR="00623297" w:rsidRPr="00C42D2C">
        <w:rPr>
          <w:i/>
          <w:color w:val="000000"/>
        </w:rPr>
        <w:t>Zamawiającego</w:t>
      </w:r>
      <w:r w:rsidR="00623297" w:rsidRPr="00C42D2C">
        <w:rPr>
          <w:color w:val="000000"/>
        </w:rPr>
        <w:t xml:space="preserve"> awarii spowodowanej jakością Oleju, koszty związane z przeprowadzeniem badania, koszty wynikające z dostawy wadliwego paliwa oraz wszelkiego rodzaju napraw systemów grzewczych poniesie </w:t>
      </w:r>
      <w:r w:rsidR="00623297" w:rsidRPr="00C42D2C">
        <w:rPr>
          <w:i/>
          <w:color w:val="000000"/>
        </w:rPr>
        <w:t>Wykonawca</w:t>
      </w:r>
      <w:r w:rsidR="00623297" w:rsidRPr="00C42D2C">
        <w:rPr>
          <w:color w:val="000000"/>
        </w:rPr>
        <w:t>.</w:t>
      </w:r>
    </w:p>
    <w:p w14:paraId="70A28A4E" w14:textId="545EF9F5" w:rsidR="00B53489" w:rsidRDefault="00B53489" w:rsidP="00AF639A">
      <w:pPr>
        <w:jc w:val="both"/>
      </w:pPr>
    </w:p>
    <w:p w14:paraId="7D55BE04" w14:textId="77777777" w:rsidR="00623297" w:rsidRDefault="00623297" w:rsidP="00AF639A">
      <w:pPr>
        <w:jc w:val="both"/>
      </w:pPr>
    </w:p>
    <w:sectPr w:rsidR="006232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AECD" w14:textId="77777777" w:rsidR="00A45C8A" w:rsidRDefault="00A45C8A" w:rsidP="00A45C8A">
      <w:pPr>
        <w:spacing w:after="0" w:line="240" w:lineRule="auto"/>
      </w:pPr>
      <w:r>
        <w:separator/>
      </w:r>
    </w:p>
  </w:endnote>
  <w:endnote w:type="continuationSeparator" w:id="0">
    <w:p w14:paraId="3BE348D0" w14:textId="77777777" w:rsidR="00A45C8A" w:rsidRDefault="00A45C8A" w:rsidP="00A4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EAA0" w14:textId="77777777" w:rsidR="00A45C8A" w:rsidRDefault="00A45C8A" w:rsidP="00A45C8A">
      <w:pPr>
        <w:spacing w:after="0" w:line="240" w:lineRule="auto"/>
      </w:pPr>
      <w:r>
        <w:separator/>
      </w:r>
    </w:p>
  </w:footnote>
  <w:footnote w:type="continuationSeparator" w:id="0">
    <w:p w14:paraId="7AA0FD12" w14:textId="77777777" w:rsidR="00A45C8A" w:rsidRDefault="00A45C8A" w:rsidP="00A4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6019" w14:textId="5106491A" w:rsidR="00A45C8A" w:rsidRPr="00204ABB" w:rsidRDefault="00A45C8A" w:rsidP="00A45C8A">
    <w:pPr>
      <w:rPr>
        <w:rFonts w:cstheme="minorHAnsi"/>
      </w:rPr>
    </w:pPr>
    <w:r w:rsidRPr="00204ABB">
      <w:rPr>
        <w:rFonts w:cstheme="minorHAnsi"/>
      </w:rPr>
      <w:t xml:space="preserve">Oznaczenie sprawy: </w:t>
    </w:r>
    <w:r>
      <w:rPr>
        <w:rFonts w:cstheme="minorHAnsi"/>
      </w:rPr>
      <w:t xml:space="preserve">ZP.272.1.13.2022 </w:t>
    </w:r>
    <w:r>
      <w:rPr>
        <w:rFonts w:cstheme="minorHAnsi"/>
      </w:rPr>
      <w:tab/>
    </w:r>
    <w:r>
      <w:rPr>
        <w:rFonts w:cstheme="minorHAnsi"/>
      </w:rPr>
      <w:tab/>
    </w:r>
    <w:r>
      <w:tab/>
    </w:r>
    <w:r>
      <w:t xml:space="preserve">               </w:t>
    </w:r>
    <w:r>
      <w:tab/>
    </w:r>
    <w:r w:rsidRPr="00204ABB">
      <w:rPr>
        <w:rFonts w:cstheme="minorHAnsi"/>
        <w:b/>
        <w:bCs/>
        <w:i/>
        <w:iCs/>
      </w:rPr>
      <w:t xml:space="preserve">Załącznik nr </w:t>
    </w:r>
    <w:r>
      <w:rPr>
        <w:rFonts w:cstheme="minorHAnsi"/>
        <w:b/>
        <w:bCs/>
        <w:i/>
        <w:iCs/>
      </w:rPr>
      <w:t xml:space="preserve">1 </w:t>
    </w:r>
    <w:r w:rsidRPr="00204ABB">
      <w:rPr>
        <w:rFonts w:cstheme="minorHAnsi"/>
        <w:b/>
        <w:bCs/>
        <w:i/>
        <w:iCs/>
      </w:rPr>
      <w:t>do SWZ</w:t>
    </w:r>
  </w:p>
  <w:p w14:paraId="3FB17496" w14:textId="77777777" w:rsidR="00A45C8A" w:rsidRDefault="00A45C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7A3"/>
    <w:rsid w:val="00034A82"/>
    <w:rsid w:val="00283344"/>
    <w:rsid w:val="002A6F9A"/>
    <w:rsid w:val="002E6E28"/>
    <w:rsid w:val="00563705"/>
    <w:rsid w:val="005E7332"/>
    <w:rsid w:val="005F18D7"/>
    <w:rsid w:val="00623297"/>
    <w:rsid w:val="006D359D"/>
    <w:rsid w:val="00731BC3"/>
    <w:rsid w:val="007527A3"/>
    <w:rsid w:val="00A45C8A"/>
    <w:rsid w:val="00AF639A"/>
    <w:rsid w:val="00B13CF4"/>
    <w:rsid w:val="00B53489"/>
    <w:rsid w:val="00C42D2C"/>
    <w:rsid w:val="00C43567"/>
    <w:rsid w:val="00D44C7E"/>
    <w:rsid w:val="00F16384"/>
    <w:rsid w:val="00F35F3B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9F55"/>
  <w15:docId w15:val="{9531A283-FECD-4954-8631-4D1EF7D6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C8A"/>
  </w:style>
  <w:style w:type="paragraph" w:styleId="Stopka">
    <w:name w:val="footer"/>
    <w:basedOn w:val="Normalny"/>
    <w:link w:val="StopkaZnak"/>
    <w:uiPriority w:val="99"/>
    <w:unhideWhenUsed/>
    <w:rsid w:val="00A4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Muszalska</dc:creator>
  <cp:lastModifiedBy>Anna Muszalska</cp:lastModifiedBy>
  <cp:revision>11</cp:revision>
  <dcterms:created xsi:type="dcterms:W3CDTF">2022-03-18T08:46:00Z</dcterms:created>
  <dcterms:modified xsi:type="dcterms:W3CDTF">2022-06-28T08:09:00Z</dcterms:modified>
</cp:coreProperties>
</file>