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120D" w14:textId="3D5281F9" w:rsidR="00DB1E5F" w:rsidRPr="00347F73" w:rsidRDefault="008A32F9" w:rsidP="008A32F9">
      <w:pPr>
        <w:rPr>
          <w:rFonts w:ascii="Times New Roman" w:hAnsi="Times New Roman" w:cs="Times New Roman"/>
          <w:b/>
          <w:bCs/>
        </w:rPr>
      </w:pPr>
      <w:r w:rsidRPr="008A32F9">
        <w:rPr>
          <w:rFonts w:ascii="Times New Roman" w:hAnsi="Times New Roman" w:cs="Times New Roman"/>
          <w:b/>
          <w:bCs/>
        </w:rPr>
        <w:t xml:space="preserve">„Dostawa sprzętu komputerowego wraz z oprogramowaniem w ramach grantu  „Cyfrowy Powiat” z podziałem na </w:t>
      </w:r>
      <w:r w:rsidR="007C7794">
        <w:rPr>
          <w:rFonts w:ascii="Times New Roman" w:hAnsi="Times New Roman" w:cs="Times New Roman"/>
          <w:b/>
          <w:bCs/>
        </w:rPr>
        <w:t>2</w:t>
      </w:r>
      <w:r w:rsidRPr="008A32F9">
        <w:rPr>
          <w:rFonts w:ascii="Times New Roman" w:hAnsi="Times New Roman" w:cs="Times New Roman"/>
          <w:b/>
          <w:bCs/>
        </w:rPr>
        <w:t xml:space="preserve"> części.</w:t>
      </w:r>
    </w:p>
    <w:p w14:paraId="4DAEAC41" w14:textId="0020477C" w:rsidR="008A32F9" w:rsidRPr="00347F73" w:rsidRDefault="008A32F9" w:rsidP="008A32F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47F73">
        <w:rPr>
          <w:rFonts w:ascii="Times New Roman" w:hAnsi="Times New Roman" w:cs="Times New Roman"/>
          <w:b/>
          <w:bCs/>
          <w:sz w:val="20"/>
          <w:szCs w:val="20"/>
        </w:rPr>
        <w:t xml:space="preserve">Część 2: „Dostawa pakietów biurowych – </w:t>
      </w:r>
      <w:r w:rsidR="001406D3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347F73">
        <w:rPr>
          <w:rFonts w:ascii="Times New Roman" w:hAnsi="Times New Roman" w:cs="Times New Roman"/>
          <w:b/>
          <w:bCs/>
          <w:sz w:val="20"/>
          <w:szCs w:val="20"/>
        </w:rPr>
        <w:t xml:space="preserve"> szt.”,</w:t>
      </w:r>
    </w:p>
    <w:p w14:paraId="00324576" w14:textId="57F2A8E3" w:rsidR="00DB1E5F" w:rsidRPr="00347F73" w:rsidRDefault="00321FA5" w:rsidP="00DB1E5F">
      <w:pPr>
        <w:rPr>
          <w:rFonts w:ascii="Times New Roman" w:hAnsi="Times New Roman" w:cs="Times New Roman"/>
          <w:b/>
          <w:sz w:val="20"/>
          <w:szCs w:val="20"/>
        </w:rPr>
      </w:pPr>
      <w:r w:rsidRPr="00347F73">
        <w:rPr>
          <w:rFonts w:ascii="Times New Roman" w:hAnsi="Times New Roman" w:cs="Times New Roman"/>
          <w:sz w:val="20"/>
          <w:szCs w:val="20"/>
        </w:rPr>
        <w:t xml:space="preserve">Pakiet biurowy dla urzędu </w:t>
      </w:r>
      <w:r w:rsidRPr="00347F73">
        <w:rPr>
          <w:rFonts w:ascii="Times New Roman" w:hAnsi="Times New Roman" w:cs="Times New Roman"/>
          <w:b/>
          <w:sz w:val="20"/>
          <w:szCs w:val="20"/>
        </w:rPr>
        <w:t xml:space="preserve">x </w:t>
      </w:r>
      <w:r w:rsidR="001406D3">
        <w:rPr>
          <w:rFonts w:ascii="Times New Roman" w:hAnsi="Times New Roman" w:cs="Times New Roman"/>
          <w:b/>
          <w:sz w:val="20"/>
          <w:szCs w:val="20"/>
        </w:rPr>
        <w:t>4</w:t>
      </w:r>
      <w:r w:rsidR="00DB1E5F" w:rsidRPr="00347F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1E5F" w:rsidRPr="00347F73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E49CC5F" w14:textId="00300E71" w:rsidR="00DB1E5F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7"/>
        <w:gridCol w:w="8297"/>
        <w:gridCol w:w="4643"/>
      </w:tblGrid>
      <w:tr w:rsidR="00DB1E5F" w:rsidRPr="008A32F9" w14:paraId="094ED669" w14:textId="77777777" w:rsidTr="004F4EF9">
        <w:tc>
          <w:tcPr>
            <w:tcW w:w="1337" w:type="dxa"/>
            <w:vAlign w:val="center"/>
          </w:tcPr>
          <w:p w14:paraId="7F608B33" w14:textId="1E33C8A3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8370004"/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297" w:type="dxa"/>
            <w:vAlign w:val="center"/>
          </w:tcPr>
          <w:p w14:paraId="35C91831" w14:textId="43A4E90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Wymagane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43" w:type="dxa"/>
          </w:tcPr>
          <w:p w14:paraId="7EB1E298" w14:textId="7B9D20FD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oferowanego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komponentu</w:t>
            </w:r>
            <w:proofErr w:type="spellEnd"/>
          </w:p>
        </w:tc>
      </w:tr>
      <w:bookmarkEnd w:id="0"/>
      <w:tr w:rsidR="00DB1E5F" w:rsidRPr="008A32F9" w14:paraId="4CFAE68C" w14:textId="3FE1CED5" w:rsidTr="004F4EF9">
        <w:tc>
          <w:tcPr>
            <w:tcW w:w="1337" w:type="dxa"/>
          </w:tcPr>
          <w:p w14:paraId="7F0BEF2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urzędu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pudełkowa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7E24240" w14:textId="77777777" w:rsidR="00DB1E5F" w:rsidRPr="008A32F9" w:rsidRDefault="00DB1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7" w:type="dxa"/>
          </w:tcPr>
          <w:p w14:paraId="0E1442A2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użycia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3A4CE8DD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32-bit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64-bit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ponad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GB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przestrzeni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8E3FF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odnośnie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3391D8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12FB23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Prostota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intuicyjność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nieposiadającym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umiejętności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technicznych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DD4DBE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spełnia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A04BA0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Posiada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kompletny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26196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Ma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zdefiniowany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Załącznikiem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Rozporządzenia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Rady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12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kwietnia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2012 r.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Ram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Interoperacyjności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rejestrów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teleinformatycznych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4DA85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zapisywać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XML.  </w:t>
            </w:r>
          </w:p>
          <w:p w14:paraId="1E38DD80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dostosowanie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szablonów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potrzeb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06963B0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muszą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wchodzić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programistyczne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pomiędzy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skryptowy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C62AED1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D961C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zintegrowanych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biurowych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2E886DE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42EC03C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73594F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45C37D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20D675E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7576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pisowni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gramatycznej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funkcjonalnością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wyrazów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bliskoznacznych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autokorekty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B487D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FBF38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ABB366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wliczając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B21C5A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numerowanie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rozdziałów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punktów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akapitów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rysunków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9A8B47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spisów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821264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nagłówków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stopek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AC670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Śledzenie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porównywanie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CB186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F7463D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pionowa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pozioma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niezależnie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F27E8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Wydruk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0D9B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korespondencji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seryjnej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24DC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zapewnieniem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bezproblemowej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konwersji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wszystkich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atrybutów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2AD8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DD2286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  <w:t xml:space="preserve">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oferowanego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bezpłatnych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go,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środowiska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kreowania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normatywnych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6441B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certyfikatu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kwalifikowanego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B391A6F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8B80D3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tabelarycznych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7DE9D7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trendu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słupkowych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kołowych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4BAC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przeprowadzające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matematyczne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logiczne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miarach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C23D0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zewnętrznych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źródeł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ODBC,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XML).  </w:t>
            </w:r>
          </w:p>
          <w:p w14:paraId="44F93FF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Obsługę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kostek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OLAP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kwerend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bazodanowych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wspomagające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wariantową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rozwiązywanie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problemów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optymalizacyjnych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17548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dynamiczną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F126D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Wyszukiwanie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F413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904A2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komórek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odwoływanie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takiej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07901A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D420A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wartości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98A43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wielu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FE1A1B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Zachowanie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uwzględnieniem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specjalnych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E06808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7D0BE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6A3EE02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będą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92B2C31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84B015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Drukowanie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robienie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07FEAA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tylko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65B01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narracji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dołączanie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4C17F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Opatrywanie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E405A8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dźwiękowych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wideo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5DD302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18C21F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Odświeżenie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znajdującego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źródłowym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052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animacji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F62560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trybie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drugim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A8BF0C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MS PowerPoint 2007, MS PowerPoint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2021.  </w:t>
            </w:r>
          </w:p>
          <w:p w14:paraId="45A13479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5466DD8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Pobieranie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wysyłanie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94E2AA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Przechowywanie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zastosowaniem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efektywnej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kompresji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16C7775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Filtrowanie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niechcianej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(SPAM)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zablokowanych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bezpiecznych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D39948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katalogować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02DB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grupowanie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samym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9F1DB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reguł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przenoszących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odbiorcy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844FE6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Oflagowanie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przypomnienia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oddzielnie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adresatów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9E0A3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synchronizowane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E705F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DD9C6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C58E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F128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Zapraszanie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uczestników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co po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akceptacji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powoduje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A581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761F4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Zlecanie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9B2A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BD61A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658477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BA8D7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przesyłania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6D254B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komunikacji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MAPI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http.  </w:t>
            </w:r>
          </w:p>
          <w:p w14:paraId="3E08D0B0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3AD27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Unijnym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2A919F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55E097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tzw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Klauzul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opublikowanych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Komisję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ochrony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95BBC0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zastrzeżenia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miejsca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Obszaru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Gospodarczego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5085BE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RODO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rolę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współprzetwarzającego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3827D7CA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pozostawieniu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całkowitej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własności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6B8E2D5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rozliczalności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86E049F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Platformy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FB4339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braku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Platformie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serwisowych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każdorazowo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uprawnione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organizacji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Platformy.  </w:t>
            </w:r>
          </w:p>
          <w:p w14:paraId="7F2BC393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180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wygaśnięcia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subskrypcji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4643" w:type="dxa"/>
          </w:tcPr>
          <w:p w14:paraId="54C8893C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6B6459" w14:textId="77777777" w:rsidR="00873FE6" w:rsidRDefault="00873FE6">
      <w:pPr>
        <w:rPr>
          <w:rFonts w:ascii="Times New Roman" w:hAnsi="Times New Roman" w:cs="Times New Roman"/>
          <w:sz w:val="24"/>
          <w:szCs w:val="24"/>
        </w:rPr>
      </w:pPr>
    </w:p>
    <w:p w14:paraId="152C8DFB" w14:textId="77777777" w:rsidR="004762A0" w:rsidRDefault="004762A0" w:rsidP="00DB1E5F">
      <w:pPr>
        <w:rPr>
          <w:rFonts w:ascii="Times New Roman" w:hAnsi="Times New Roman" w:cs="Times New Roman"/>
          <w:sz w:val="24"/>
          <w:szCs w:val="24"/>
        </w:rPr>
      </w:pPr>
    </w:p>
    <w:p w14:paraId="37DF53EB" w14:textId="77777777" w:rsidR="004762A0" w:rsidRDefault="004762A0" w:rsidP="00DB1E5F">
      <w:pPr>
        <w:rPr>
          <w:rFonts w:ascii="Times New Roman" w:hAnsi="Times New Roman" w:cs="Times New Roman"/>
          <w:sz w:val="24"/>
          <w:szCs w:val="24"/>
        </w:rPr>
      </w:pPr>
    </w:p>
    <w:sectPr w:rsidR="004762A0" w:rsidSect="00EF3B7A">
      <w:headerReference w:type="default" r:id="rId8"/>
      <w:headerReference w:type="first" r:id="rId9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CE10" w14:textId="77777777" w:rsidR="001B3C9D" w:rsidRDefault="001B3C9D" w:rsidP="00074BAB">
      <w:pPr>
        <w:spacing w:after="0" w:line="240" w:lineRule="auto"/>
      </w:pPr>
      <w:r>
        <w:separator/>
      </w:r>
    </w:p>
  </w:endnote>
  <w:endnote w:type="continuationSeparator" w:id="0">
    <w:p w14:paraId="3A49DFF0" w14:textId="77777777" w:rsidR="001B3C9D" w:rsidRDefault="001B3C9D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EAC0D" w14:textId="77777777" w:rsidR="001B3C9D" w:rsidRDefault="001B3C9D" w:rsidP="00074BAB">
      <w:pPr>
        <w:spacing w:after="0" w:line="240" w:lineRule="auto"/>
      </w:pPr>
      <w:r>
        <w:separator/>
      </w:r>
    </w:p>
  </w:footnote>
  <w:footnote w:type="continuationSeparator" w:id="0">
    <w:p w14:paraId="4F7F87B8" w14:textId="77777777" w:rsidR="001B3C9D" w:rsidRDefault="001B3C9D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5E2339D9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1" w:name="_Hlk117679953"/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D277D9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b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1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0925" w14:textId="60D4A2E2" w:rsidR="00D277D9" w:rsidRDefault="00EF3B7A">
    <w:pPr>
      <w:pStyle w:val="Nagwek"/>
    </w:pPr>
    <w:r>
      <w:rPr>
        <w:noProof/>
      </w:rPr>
      <w:drawing>
        <wp:inline distT="0" distB="0" distL="0" distR="0" wp14:anchorId="5879B1B6" wp14:editId="70AAA906">
          <wp:extent cx="9072245" cy="9448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406D3"/>
    <w:rsid w:val="001416BF"/>
    <w:rsid w:val="0014330F"/>
    <w:rsid w:val="00182996"/>
    <w:rsid w:val="001903FA"/>
    <w:rsid w:val="001A094C"/>
    <w:rsid w:val="001B3C9D"/>
    <w:rsid w:val="001C0734"/>
    <w:rsid w:val="00237E60"/>
    <w:rsid w:val="00240651"/>
    <w:rsid w:val="002820D8"/>
    <w:rsid w:val="002E2C2C"/>
    <w:rsid w:val="00321FA5"/>
    <w:rsid w:val="00347F73"/>
    <w:rsid w:val="00355B94"/>
    <w:rsid w:val="003E4D55"/>
    <w:rsid w:val="0043520E"/>
    <w:rsid w:val="004762A0"/>
    <w:rsid w:val="004F11E7"/>
    <w:rsid w:val="004F4EF9"/>
    <w:rsid w:val="00584B9C"/>
    <w:rsid w:val="00630D68"/>
    <w:rsid w:val="006748AC"/>
    <w:rsid w:val="0067694E"/>
    <w:rsid w:val="006A3B75"/>
    <w:rsid w:val="006D6893"/>
    <w:rsid w:val="007C51F8"/>
    <w:rsid w:val="007C7794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277D9"/>
    <w:rsid w:val="00D86FC9"/>
    <w:rsid w:val="00DB1E5F"/>
    <w:rsid w:val="00E003EA"/>
    <w:rsid w:val="00EB692C"/>
    <w:rsid w:val="00E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Piotr Komorowski</cp:lastModifiedBy>
  <cp:revision>8</cp:revision>
  <cp:lastPrinted>2022-11-03T11:25:00Z</cp:lastPrinted>
  <dcterms:created xsi:type="dcterms:W3CDTF">2022-11-04T10:12:00Z</dcterms:created>
  <dcterms:modified xsi:type="dcterms:W3CDTF">2022-12-22T10:42:00Z</dcterms:modified>
</cp:coreProperties>
</file>