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1812B" w14:textId="77777777" w:rsidR="0025566D" w:rsidRPr="0025566D" w:rsidRDefault="0025566D" w:rsidP="0025566D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25566D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47C50CD0" w14:textId="77777777" w:rsidR="0025566D" w:rsidRPr="0025566D" w:rsidRDefault="0025566D" w:rsidP="0025566D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25566D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43D2F4AE" w14:textId="77777777" w:rsidR="0025566D" w:rsidRDefault="0025566D">
      <w:pPr>
        <w:rPr>
          <w:rFonts w:ascii="Times New Roman" w:hAnsi="Times New Roman" w:cs="Times New Roman"/>
          <w:b/>
          <w:bCs/>
        </w:rPr>
      </w:pPr>
    </w:p>
    <w:p w14:paraId="2BA164E1" w14:textId="6387A18A" w:rsidR="00CD1414" w:rsidRPr="005051BD" w:rsidRDefault="005051BD">
      <w:pPr>
        <w:rPr>
          <w:rFonts w:ascii="Times New Roman" w:hAnsi="Times New Roman" w:cs="Times New Roman"/>
          <w:b/>
          <w:bCs/>
        </w:rPr>
      </w:pPr>
      <w:r w:rsidRPr="005051BD">
        <w:rPr>
          <w:rFonts w:ascii="Times New Roman" w:hAnsi="Times New Roman" w:cs="Times New Roman"/>
          <w:b/>
          <w:bCs/>
        </w:rPr>
        <w:t>URZĄDZENIE DO OCENY PROPRIOCEPTYWNO-STABILOMETRYCZNEJ</w:t>
      </w:r>
    </w:p>
    <w:p w14:paraId="449D58BE" w14:textId="28D107AB" w:rsidR="00CD1414" w:rsidRPr="00EF3E16" w:rsidRDefault="00CD1414" w:rsidP="00CD1414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EF3E16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4A10324A" w14:textId="7620016F" w:rsidR="00CD1414" w:rsidRPr="00EF3E16" w:rsidRDefault="00CD1414" w:rsidP="00EF3E16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EF3E16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69360739" w14:textId="44E4091E" w:rsidR="00CD1414" w:rsidRPr="00EF3E16" w:rsidRDefault="00CD1414" w:rsidP="00CD1414">
      <w:pPr>
        <w:rPr>
          <w:rFonts w:ascii="Times New Roman" w:hAnsi="Times New Roman" w:cs="Times New Roman"/>
        </w:rPr>
      </w:pPr>
      <w:r w:rsidRPr="00EF3E16">
        <w:rPr>
          <w:rFonts w:ascii="Times New Roman" w:hAnsi="Times New Roman" w:cs="Times New Roman"/>
        </w:rPr>
        <w:t>Producent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276"/>
        <w:gridCol w:w="3538"/>
      </w:tblGrid>
      <w:tr w:rsidR="00CD1414" w:rsidRPr="00EF3E16" w14:paraId="5D22E7F4" w14:textId="77777777" w:rsidTr="00A62294">
        <w:tc>
          <w:tcPr>
            <w:tcW w:w="562" w:type="dxa"/>
          </w:tcPr>
          <w:p w14:paraId="58C005E0" w14:textId="77777777" w:rsidR="00CD1414" w:rsidRPr="00EF3E16" w:rsidRDefault="00CD1414" w:rsidP="00A62294">
            <w:pPr>
              <w:rPr>
                <w:rFonts w:ascii="Times New Roman" w:hAnsi="Times New Roman" w:cs="Times New Roman"/>
                <w:b/>
                <w:bCs/>
              </w:rPr>
            </w:pPr>
            <w:r w:rsidRPr="00EF3E1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59AE38FE" w14:textId="77777777" w:rsidR="00CD1414" w:rsidRPr="00EF3E16" w:rsidRDefault="00CD1414" w:rsidP="00A6229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14:paraId="0BCD4138" w14:textId="77777777" w:rsidR="00CD1414" w:rsidRPr="00EF3E16" w:rsidRDefault="00CD1414" w:rsidP="00A6229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EF3E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538" w:type="dxa"/>
          </w:tcPr>
          <w:p w14:paraId="5C4BA5C2" w14:textId="77777777" w:rsidR="00CD1414" w:rsidRPr="00EF3E16" w:rsidRDefault="00CD1414" w:rsidP="00A6229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EF3E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CD1414" w:rsidRPr="00EF3E16" w14:paraId="57F171C8" w14:textId="77777777" w:rsidTr="00A62294">
        <w:tc>
          <w:tcPr>
            <w:tcW w:w="562" w:type="dxa"/>
          </w:tcPr>
          <w:p w14:paraId="1F296BBC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14:paraId="164C9D1D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urządzenie medyczne, które umożliwia wykonywanie ćwiczeń w zamkniętych łańcuchach</w:t>
            </w:r>
          </w:p>
          <w:p w14:paraId="1316DAF3" w14:textId="143424E6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kinematycznych poprzez dostarczanie obiektywnych danych związanych z oceną równowagi, oceną ryzyka upadku, zarządzania własnym ciałem na skutek urazu, dzięki wspomaganiu wizualno-akustycznego biofeedbacku lub wykorzystując wirtualne gry</w:t>
            </w:r>
          </w:p>
        </w:tc>
        <w:tc>
          <w:tcPr>
            <w:tcW w:w="1276" w:type="dxa"/>
          </w:tcPr>
          <w:p w14:paraId="6EDA52F9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8AE0B39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7E035593" w14:textId="77777777" w:rsidTr="00A62294">
        <w:tc>
          <w:tcPr>
            <w:tcW w:w="562" w:type="dxa"/>
          </w:tcPr>
          <w:p w14:paraId="64A6EAF5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14:paraId="7290A905" w14:textId="71C8B74D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Zastosowanie m.in.</w:t>
            </w:r>
            <w:r w:rsidR="003F0AA4">
              <w:rPr>
                <w:rFonts w:ascii="Times New Roman" w:hAnsi="Times New Roman" w:cs="Times New Roman"/>
              </w:rPr>
              <w:t xml:space="preserve"> w</w:t>
            </w:r>
            <w:r w:rsidRPr="00EF3E16">
              <w:rPr>
                <w:rFonts w:ascii="Times New Roman" w:hAnsi="Times New Roman" w:cs="Times New Roman"/>
              </w:rPr>
              <w:t xml:space="preserve"> leczeniu ortopedycznym i neurologicznym</w:t>
            </w:r>
          </w:p>
        </w:tc>
        <w:tc>
          <w:tcPr>
            <w:tcW w:w="1276" w:type="dxa"/>
          </w:tcPr>
          <w:p w14:paraId="32B113DC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E53C041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50D4E2F0" w14:textId="77777777" w:rsidTr="00A62294">
        <w:tc>
          <w:tcPr>
            <w:tcW w:w="562" w:type="dxa"/>
          </w:tcPr>
          <w:p w14:paraId="60F6F20B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14:paraId="7CB083C2" w14:textId="34C8F40D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50 poziomów stabilności</w:t>
            </w:r>
          </w:p>
        </w:tc>
        <w:tc>
          <w:tcPr>
            <w:tcW w:w="1276" w:type="dxa"/>
          </w:tcPr>
          <w:p w14:paraId="1ABB9BAB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A4FC212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554159EE" w14:textId="77777777" w:rsidTr="00A62294">
        <w:tc>
          <w:tcPr>
            <w:tcW w:w="562" w:type="dxa"/>
          </w:tcPr>
          <w:p w14:paraId="1212E616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7A1185BF" w14:textId="1C4767A6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Ruch jedno- i dwuosiowy</w:t>
            </w:r>
          </w:p>
        </w:tc>
        <w:tc>
          <w:tcPr>
            <w:tcW w:w="1276" w:type="dxa"/>
          </w:tcPr>
          <w:p w14:paraId="0D44F397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9419D6E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66DE4805" w14:textId="77777777" w:rsidTr="00A62294">
        <w:tc>
          <w:tcPr>
            <w:tcW w:w="562" w:type="dxa"/>
          </w:tcPr>
          <w:p w14:paraId="4723D88D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14:paraId="453771F0" w14:textId="7A60055F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Analiza równowagi i postawy w pozycji ortostatycznej i siedzącej</w:t>
            </w:r>
          </w:p>
        </w:tc>
        <w:tc>
          <w:tcPr>
            <w:tcW w:w="1276" w:type="dxa"/>
          </w:tcPr>
          <w:p w14:paraId="7B1AE06C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1208013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13C7D8DF" w14:textId="77777777" w:rsidTr="00A62294">
        <w:tc>
          <w:tcPr>
            <w:tcW w:w="562" w:type="dxa"/>
          </w:tcPr>
          <w:p w14:paraId="787DCFF7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14:paraId="50BB04F2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 xml:space="preserve">Funkcje oprogramowania: </w:t>
            </w:r>
          </w:p>
          <w:p w14:paraId="31B9A66F" w14:textId="77777777" w:rsidR="00CD1414" w:rsidRPr="00EF3E16" w:rsidRDefault="00CD1414" w:rsidP="00CD141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Test stabilometryczny</w:t>
            </w:r>
          </w:p>
          <w:p w14:paraId="3A32C718" w14:textId="77777777" w:rsidR="00CD1414" w:rsidRPr="00EF3E16" w:rsidRDefault="00CD1414" w:rsidP="00CD141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Test granic stabilności (LOS)</w:t>
            </w:r>
          </w:p>
          <w:p w14:paraId="490CA43B" w14:textId="77777777" w:rsidR="00CD1414" w:rsidRPr="00EF3E16" w:rsidRDefault="00CD1414" w:rsidP="00CD141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Ocena proprioceptywna (jedna kończyna)</w:t>
            </w:r>
          </w:p>
          <w:p w14:paraId="05055456" w14:textId="77777777" w:rsidR="00CD1414" w:rsidRPr="00EF3E16" w:rsidRDefault="00CD1414" w:rsidP="00CD141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Ocena zakresu ruchów tułowia/bioder</w:t>
            </w:r>
          </w:p>
          <w:p w14:paraId="3881261C" w14:textId="77777777" w:rsidR="00CD1414" w:rsidRPr="00EF3E16" w:rsidRDefault="00CD1414" w:rsidP="00CD141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Ocena posturalna i proprioceptywna zakresu ruchów tułowia/ bioder</w:t>
            </w:r>
          </w:p>
          <w:p w14:paraId="4D9FC2DC" w14:textId="77777777" w:rsidR="00CD1414" w:rsidRPr="00EF3E16" w:rsidRDefault="00CD1414" w:rsidP="00CD141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Porównawczy test stabilometryczny (oczy otwarte/oczy zamknięte - Romberg)</w:t>
            </w:r>
          </w:p>
          <w:p w14:paraId="536BA2F9" w14:textId="05033EBA" w:rsidR="00CD1414" w:rsidRPr="00EF3E16" w:rsidRDefault="00CD1414" w:rsidP="00CD141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Równowaga obu stóp</w:t>
            </w:r>
          </w:p>
        </w:tc>
        <w:tc>
          <w:tcPr>
            <w:tcW w:w="1276" w:type="dxa"/>
          </w:tcPr>
          <w:p w14:paraId="6357FA7B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1311A39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12767EB7" w14:textId="77777777" w:rsidTr="00A62294">
        <w:tc>
          <w:tcPr>
            <w:tcW w:w="562" w:type="dxa"/>
          </w:tcPr>
          <w:p w14:paraId="74D7A685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14:paraId="101C2F69" w14:textId="688A2003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Rejestr pacjentów i archiwum oceny/treningów</w:t>
            </w:r>
          </w:p>
        </w:tc>
        <w:tc>
          <w:tcPr>
            <w:tcW w:w="1276" w:type="dxa"/>
          </w:tcPr>
          <w:p w14:paraId="2453829F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2C6DF6F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609EB543" w14:textId="77777777" w:rsidTr="00A62294">
        <w:tc>
          <w:tcPr>
            <w:tcW w:w="562" w:type="dxa"/>
          </w:tcPr>
          <w:p w14:paraId="66E800B4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</w:tcPr>
          <w:p w14:paraId="6D6FEB81" w14:textId="15FB0702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21,5-calowy ekran dotykowy o rozdzielczości 1600x900 pikseli</w:t>
            </w:r>
          </w:p>
        </w:tc>
        <w:tc>
          <w:tcPr>
            <w:tcW w:w="1276" w:type="dxa"/>
          </w:tcPr>
          <w:p w14:paraId="79AAA633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2B6F9ED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443DFE3E" w14:textId="77777777" w:rsidTr="00A62294">
        <w:tc>
          <w:tcPr>
            <w:tcW w:w="562" w:type="dxa"/>
          </w:tcPr>
          <w:p w14:paraId="439CC613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</w:tcPr>
          <w:p w14:paraId="70678E9B" w14:textId="5A488B20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Regulowana wysokość wyświetlacza</w:t>
            </w:r>
          </w:p>
        </w:tc>
        <w:tc>
          <w:tcPr>
            <w:tcW w:w="1276" w:type="dxa"/>
          </w:tcPr>
          <w:p w14:paraId="4FD6C9FE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E0FEE82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78559F94" w14:textId="77777777" w:rsidTr="00A62294">
        <w:tc>
          <w:tcPr>
            <w:tcW w:w="562" w:type="dxa"/>
          </w:tcPr>
          <w:p w14:paraId="194F64AC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</w:tcPr>
          <w:p w14:paraId="15D5CD4A" w14:textId="2C0E3BB1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Platforma statyczna/ dynamiczna o średnicy 55 cm</w:t>
            </w:r>
          </w:p>
        </w:tc>
        <w:tc>
          <w:tcPr>
            <w:tcW w:w="1276" w:type="dxa"/>
          </w:tcPr>
          <w:p w14:paraId="46314934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BD22801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227DAF45" w14:textId="77777777" w:rsidTr="00A62294">
        <w:tc>
          <w:tcPr>
            <w:tcW w:w="562" w:type="dxa"/>
          </w:tcPr>
          <w:p w14:paraId="07D7DC4B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</w:tcPr>
          <w:p w14:paraId="7F2ACF88" w14:textId="3914D2D0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Platforma nośna 110x110 cm, wysokość od podłoża 23 cm</w:t>
            </w:r>
          </w:p>
        </w:tc>
        <w:tc>
          <w:tcPr>
            <w:tcW w:w="1276" w:type="dxa"/>
          </w:tcPr>
          <w:p w14:paraId="28688DA4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E0EA285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6BD830CF" w14:textId="77777777" w:rsidTr="00A62294">
        <w:tc>
          <w:tcPr>
            <w:tcW w:w="562" w:type="dxa"/>
          </w:tcPr>
          <w:p w14:paraId="4AB9B392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6" w:type="dxa"/>
          </w:tcPr>
          <w:p w14:paraId="512AC925" w14:textId="6EE84369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Czujnik tułowia dla monitorowania postawy</w:t>
            </w:r>
          </w:p>
        </w:tc>
        <w:tc>
          <w:tcPr>
            <w:tcW w:w="1276" w:type="dxa"/>
          </w:tcPr>
          <w:p w14:paraId="717379DD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61702ED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09AA4AC8" w14:textId="77777777" w:rsidTr="00A62294">
        <w:tc>
          <w:tcPr>
            <w:tcW w:w="562" w:type="dxa"/>
          </w:tcPr>
          <w:p w14:paraId="5FD578FF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6" w:type="dxa"/>
          </w:tcPr>
          <w:p w14:paraId="1B8FBBF6" w14:textId="5F6F08C8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Otaczające górne podpory</w:t>
            </w:r>
          </w:p>
        </w:tc>
        <w:tc>
          <w:tcPr>
            <w:tcW w:w="1276" w:type="dxa"/>
          </w:tcPr>
          <w:p w14:paraId="742A805D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D8B723D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58B44F7E" w14:textId="77777777" w:rsidTr="00A62294">
        <w:tc>
          <w:tcPr>
            <w:tcW w:w="562" w:type="dxa"/>
          </w:tcPr>
          <w:p w14:paraId="65038C1B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686" w:type="dxa"/>
          </w:tcPr>
          <w:p w14:paraId="5422E384" w14:textId="41B0C164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Siedzisko dla modułu miednicy</w:t>
            </w:r>
          </w:p>
        </w:tc>
        <w:tc>
          <w:tcPr>
            <w:tcW w:w="1276" w:type="dxa"/>
          </w:tcPr>
          <w:p w14:paraId="597F1485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B431CC9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1C065A72" w14:textId="77777777" w:rsidTr="00A62294">
        <w:tc>
          <w:tcPr>
            <w:tcW w:w="562" w:type="dxa"/>
          </w:tcPr>
          <w:p w14:paraId="185A7403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86" w:type="dxa"/>
          </w:tcPr>
          <w:p w14:paraId="61214565" w14:textId="34F7DFE9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Kąt nachylenia siedziska +/- 15° (rozdzielczość 0,2°, dokładność 0,5°)</w:t>
            </w:r>
          </w:p>
        </w:tc>
        <w:tc>
          <w:tcPr>
            <w:tcW w:w="1276" w:type="dxa"/>
          </w:tcPr>
          <w:p w14:paraId="54701745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B399B43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67C8FB94" w14:textId="77777777" w:rsidTr="00A62294">
        <w:tc>
          <w:tcPr>
            <w:tcW w:w="562" w:type="dxa"/>
          </w:tcPr>
          <w:p w14:paraId="3AC879B1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86" w:type="dxa"/>
          </w:tcPr>
          <w:p w14:paraId="3FACBFA4" w14:textId="2455CB88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Kąt nachylenia platformy +/- 15° ( rozdzielczość 0,2° , dokładność 0,5°)</w:t>
            </w:r>
          </w:p>
        </w:tc>
        <w:tc>
          <w:tcPr>
            <w:tcW w:w="1276" w:type="dxa"/>
          </w:tcPr>
          <w:p w14:paraId="6140BECF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BE4E8F0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45AE8E41" w14:textId="77777777" w:rsidTr="00A62294">
        <w:tc>
          <w:tcPr>
            <w:tcW w:w="562" w:type="dxa"/>
          </w:tcPr>
          <w:p w14:paraId="2468460B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86" w:type="dxa"/>
          </w:tcPr>
          <w:p w14:paraId="4F53CF57" w14:textId="0A6DEABD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Kąt nachylenia sensora tułowia +/- 30° (rozdzielczość 0,1°, dokładność 0,5°)</w:t>
            </w:r>
          </w:p>
        </w:tc>
        <w:tc>
          <w:tcPr>
            <w:tcW w:w="1276" w:type="dxa"/>
          </w:tcPr>
          <w:p w14:paraId="5D46110C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408EE65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0034904C" w14:textId="77777777" w:rsidTr="00A62294">
        <w:tc>
          <w:tcPr>
            <w:tcW w:w="562" w:type="dxa"/>
          </w:tcPr>
          <w:p w14:paraId="54942D3A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86" w:type="dxa"/>
          </w:tcPr>
          <w:p w14:paraId="5397ED33" w14:textId="35D30F54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 xml:space="preserve">Integracja i połączenie z TBMS, Cloud i innymi rejestrami </w:t>
            </w:r>
          </w:p>
        </w:tc>
        <w:tc>
          <w:tcPr>
            <w:tcW w:w="1276" w:type="dxa"/>
          </w:tcPr>
          <w:p w14:paraId="0673A349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D4BCE43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1DB04BD8" w14:textId="77777777" w:rsidTr="00A62294">
        <w:tc>
          <w:tcPr>
            <w:tcW w:w="562" w:type="dxa"/>
          </w:tcPr>
          <w:p w14:paraId="7B9070AC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86" w:type="dxa"/>
          </w:tcPr>
          <w:p w14:paraId="6F3F781C" w14:textId="7CFFEBF8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Częstotliwość próbkowania: 40 Hz</w:t>
            </w:r>
          </w:p>
        </w:tc>
        <w:tc>
          <w:tcPr>
            <w:tcW w:w="1276" w:type="dxa"/>
          </w:tcPr>
          <w:p w14:paraId="70EFBB89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7FA703B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626AABA4" w14:textId="77777777" w:rsidTr="00A62294">
        <w:tc>
          <w:tcPr>
            <w:tcW w:w="562" w:type="dxa"/>
          </w:tcPr>
          <w:p w14:paraId="0F5A7118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86" w:type="dxa"/>
          </w:tcPr>
          <w:p w14:paraId="1BB14E1C" w14:textId="010C7CDD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Waga systemu: 230 kg</w:t>
            </w:r>
          </w:p>
        </w:tc>
        <w:tc>
          <w:tcPr>
            <w:tcW w:w="1276" w:type="dxa"/>
          </w:tcPr>
          <w:p w14:paraId="7C0E37F9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8864750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3EE975B3" w14:textId="77777777" w:rsidTr="00A62294">
        <w:tc>
          <w:tcPr>
            <w:tcW w:w="562" w:type="dxa"/>
          </w:tcPr>
          <w:p w14:paraId="31479BC7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86" w:type="dxa"/>
          </w:tcPr>
          <w:p w14:paraId="232FFC09" w14:textId="571ECFD3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Wymiary systemu: 185 cm x 120 cm x 180-200 cm (długość x szerokość x wysokość)</w:t>
            </w:r>
          </w:p>
        </w:tc>
        <w:tc>
          <w:tcPr>
            <w:tcW w:w="1276" w:type="dxa"/>
          </w:tcPr>
          <w:p w14:paraId="02E4977A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693CB43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0F2B70AB" w14:textId="77777777" w:rsidTr="00A62294">
        <w:tc>
          <w:tcPr>
            <w:tcW w:w="562" w:type="dxa"/>
          </w:tcPr>
          <w:p w14:paraId="1D5532E4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686" w:type="dxa"/>
          </w:tcPr>
          <w:p w14:paraId="688E06A7" w14:textId="5417AB91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Zasilanie: 230 VAC, 50 Hz</w:t>
            </w:r>
          </w:p>
        </w:tc>
        <w:tc>
          <w:tcPr>
            <w:tcW w:w="1276" w:type="dxa"/>
          </w:tcPr>
          <w:p w14:paraId="2BA22CDB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79F8E86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43820DED" w14:textId="77777777" w:rsidTr="00A62294">
        <w:tc>
          <w:tcPr>
            <w:tcW w:w="562" w:type="dxa"/>
          </w:tcPr>
          <w:p w14:paraId="108DF643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86" w:type="dxa"/>
          </w:tcPr>
          <w:p w14:paraId="312D2D46" w14:textId="2B1DBDC8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Zgodność z Dyrektywą 93/42/EEC–Klasa 1m</w:t>
            </w:r>
          </w:p>
        </w:tc>
        <w:tc>
          <w:tcPr>
            <w:tcW w:w="1276" w:type="dxa"/>
          </w:tcPr>
          <w:p w14:paraId="2D2EB477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3CE117E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  <w:tr w:rsidR="00CD1414" w:rsidRPr="00EF3E16" w14:paraId="18B89922" w14:textId="77777777" w:rsidTr="00A62294">
        <w:tc>
          <w:tcPr>
            <w:tcW w:w="562" w:type="dxa"/>
          </w:tcPr>
          <w:p w14:paraId="6F5D2060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86" w:type="dxa"/>
          </w:tcPr>
          <w:p w14:paraId="62AFF690" w14:textId="2F066EE9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Zgodność z EN60601-1 KLASA 1- Typ B</w:t>
            </w:r>
          </w:p>
        </w:tc>
        <w:tc>
          <w:tcPr>
            <w:tcW w:w="1276" w:type="dxa"/>
          </w:tcPr>
          <w:p w14:paraId="1392DD8A" w14:textId="77777777" w:rsidR="00CD1414" w:rsidRPr="00EF3E16" w:rsidRDefault="00CD1414" w:rsidP="00CD1414">
            <w:pPr>
              <w:jc w:val="center"/>
              <w:rPr>
                <w:rFonts w:ascii="Times New Roman" w:hAnsi="Times New Roman" w:cs="Times New Roman"/>
              </w:rPr>
            </w:pPr>
            <w:r w:rsidRPr="00EF3E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449A7D7" w14:textId="77777777" w:rsidR="00CD1414" w:rsidRPr="00EF3E16" w:rsidRDefault="00CD1414" w:rsidP="00CD1414">
            <w:pPr>
              <w:rPr>
                <w:rFonts w:ascii="Times New Roman" w:hAnsi="Times New Roman" w:cs="Times New Roman"/>
              </w:rPr>
            </w:pPr>
          </w:p>
        </w:tc>
      </w:tr>
    </w:tbl>
    <w:p w14:paraId="7CBE6930" w14:textId="77777777" w:rsidR="001A3F01" w:rsidRPr="001A3F01" w:rsidRDefault="001A3F01" w:rsidP="001A3F0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1A3F01">
        <w:rPr>
          <w:rFonts w:ascii="Times New Roman" w:eastAsia="Calibri" w:hAnsi="Times New Roman" w:cs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2FD6566B" w14:textId="77777777" w:rsidR="001A3F01" w:rsidRPr="001A3F01" w:rsidRDefault="001A3F01" w:rsidP="001A3F0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1A3F01">
        <w:rPr>
          <w:rFonts w:ascii="Times New Roman" w:eastAsia="Calibri" w:hAnsi="Times New Roman" w:cs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3A8933CE" w14:textId="708A1DE2" w:rsidR="00CD1414" w:rsidRDefault="00CD1414" w:rsidP="00CD1414">
      <w:pPr>
        <w:rPr>
          <w:rFonts w:ascii="Times New Roman" w:hAnsi="Times New Roman" w:cs="Times New Roman"/>
          <w:color w:val="FF0000"/>
        </w:rPr>
      </w:pPr>
    </w:p>
    <w:p w14:paraId="15FCD33E" w14:textId="77777777" w:rsidR="0056563D" w:rsidRPr="0056563D" w:rsidRDefault="0056563D" w:rsidP="0056563D">
      <w:pPr>
        <w:spacing w:after="200" w:line="276" w:lineRule="auto"/>
        <w:jc w:val="both"/>
        <w:rPr>
          <w:rFonts w:ascii="Times New Roman" w:eastAsia="Andale Sans UI" w:hAnsi="Times New Roman" w:cs="Times New Roman"/>
          <w:b/>
          <w:i/>
          <w:iCs/>
          <w:kern w:val="1"/>
          <w:sz w:val="20"/>
          <w:szCs w:val="20"/>
          <w:lang w:eastAsia="fa-IR" w:bidi="fa-IR"/>
        </w:rPr>
      </w:pPr>
      <w:r w:rsidRPr="0056563D"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7DA94E93" w14:textId="77777777" w:rsidR="0056563D" w:rsidRPr="00EF3E16" w:rsidRDefault="0056563D" w:rsidP="00CD1414">
      <w:pPr>
        <w:rPr>
          <w:rFonts w:ascii="Times New Roman" w:hAnsi="Times New Roman" w:cs="Times New Roman"/>
          <w:color w:val="FF0000"/>
        </w:rPr>
      </w:pPr>
    </w:p>
    <w:sectPr w:rsidR="0056563D" w:rsidRPr="00EF3E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1007" w14:textId="77777777" w:rsidR="007455CA" w:rsidRDefault="007455CA" w:rsidP="00EF3E16">
      <w:pPr>
        <w:spacing w:after="0" w:line="240" w:lineRule="auto"/>
      </w:pPr>
      <w:r>
        <w:separator/>
      </w:r>
    </w:p>
  </w:endnote>
  <w:endnote w:type="continuationSeparator" w:id="0">
    <w:p w14:paraId="216A3593" w14:textId="77777777" w:rsidR="007455CA" w:rsidRDefault="007455CA" w:rsidP="00EF3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7E5F" w14:textId="77777777" w:rsidR="009814C7" w:rsidRDefault="009814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7656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19E58D9" w14:textId="20C8189E" w:rsidR="009814C7" w:rsidRPr="00B6798E" w:rsidRDefault="009814C7">
        <w:pPr>
          <w:pStyle w:val="Stopka"/>
          <w:jc w:val="center"/>
          <w:rPr>
            <w:rFonts w:ascii="Times New Roman" w:hAnsi="Times New Roman" w:cs="Times New Roman"/>
          </w:rPr>
        </w:pPr>
        <w:r w:rsidRPr="00B6798E">
          <w:rPr>
            <w:rFonts w:ascii="Times New Roman" w:hAnsi="Times New Roman" w:cs="Times New Roman"/>
          </w:rPr>
          <w:fldChar w:fldCharType="begin"/>
        </w:r>
        <w:r w:rsidRPr="00B6798E">
          <w:rPr>
            <w:rFonts w:ascii="Times New Roman" w:hAnsi="Times New Roman" w:cs="Times New Roman"/>
          </w:rPr>
          <w:instrText>PAGE   \* MERGEFORMAT</w:instrText>
        </w:r>
        <w:r w:rsidRPr="00B6798E">
          <w:rPr>
            <w:rFonts w:ascii="Times New Roman" w:hAnsi="Times New Roman" w:cs="Times New Roman"/>
          </w:rPr>
          <w:fldChar w:fldCharType="separate"/>
        </w:r>
        <w:r w:rsidRPr="00B6798E">
          <w:rPr>
            <w:rFonts w:ascii="Times New Roman" w:hAnsi="Times New Roman" w:cs="Times New Roman"/>
          </w:rPr>
          <w:t>2</w:t>
        </w:r>
        <w:r w:rsidRPr="00B6798E">
          <w:rPr>
            <w:rFonts w:ascii="Times New Roman" w:hAnsi="Times New Roman" w:cs="Times New Roman"/>
          </w:rPr>
          <w:fldChar w:fldCharType="end"/>
        </w:r>
      </w:p>
    </w:sdtContent>
  </w:sdt>
  <w:p w14:paraId="75A622A5" w14:textId="77777777" w:rsidR="009814C7" w:rsidRDefault="009814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D9CD" w14:textId="77777777" w:rsidR="009814C7" w:rsidRDefault="00981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5444E" w14:textId="77777777" w:rsidR="007455CA" w:rsidRDefault="007455CA" w:rsidP="00EF3E16">
      <w:pPr>
        <w:spacing w:after="0" w:line="240" w:lineRule="auto"/>
      </w:pPr>
      <w:r>
        <w:separator/>
      </w:r>
    </w:p>
  </w:footnote>
  <w:footnote w:type="continuationSeparator" w:id="0">
    <w:p w14:paraId="4B2A09A9" w14:textId="77777777" w:rsidR="007455CA" w:rsidRDefault="007455CA" w:rsidP="00EF3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3FF23" w14:textId="77777777" w:rsidR="009814C7" w:rsidRDefault="009814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AA9E0" w14:textId="2309D545" w:rsidR="00EF3E16" w:rsidRPr="00EF3E16" w:rsidRDefault="00EF3E16">
    <w:pPr>
      <w:pStyle w:val="Nagwek"/>
      <w:rPr>
        <w:rFonts w:ascii="Times New Roman" w:hAnsi="Times New Roman" w:cs="Times New Roman"/>
      </w:rPr>
    </w:pPr>
    <w:r w:rsidRPr="00EF3E16">
      <w:rPr>
        <w:rFonts w:ascii="Times New Roman" w:hAnsi="Times New Roman" w:cs="Times New Roman"/>
        <w:bCs/>
        <w:color w:val="000000"/>
        <w:sz w:val="24"/>
        <w:szCs w:val="24"/>
      </w:rPr>
      <w:t>Część nr 4 pn. Wyposażenie fizjoterapii dla dorosłych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E8B4" w14:textId="77777777" w:rsidR="009814C7" w:rsidRDefault="009814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207D3"/>
    <w:multiLevelType w:val="hybridMultilevel"/>
    <w:tmpl w:val="49A6F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91E19"/>
    <w:multiLevelType w:val="hybridMultilevel"/>
    <w:tmpl w:val="D0B69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914633">
    <w:abstractNumId w:val="1"/>
  </w:num>
  <w:num w:numId="2" w16cid:durableId="48871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64"/>
    <w:rsid w:val="00036549"/>
    <w:rsid w:val="0003751E"/>
    <w:rsid w:val="000C2C21"/>
    <w:rsid w:val="00112A16"/>
    <w:rsid w:val="00157BE7"/>
    <w:rsid w:val="001A3F01"/>
    <w:rsid w:val="00230A0A"/>
    <w:rsid w:val="0025566D"/>
    <w:rsid w:val="002B33EA"/>
    <w:rsid w:val="003766E1"/>
    <w:rsid w:val="003F0AA4"/>
    <w:rsid w:val="003F2964"/>
    <w:rsid w:val="004C26CF"/>
    <w:rsid w:val="004F6A5D"/>
    <w:rsid w:val="005051BD"/>
    <w:rsid w:val="0056563D"/>
    <w:rsid w:val="00665BDA"/>
    <w:rsid w:val="007455CA"/>
    <w:rsid w:val="008A224B"/>
    <w:rsid w:val="009814C7"/>
    <w:rsid w:val="009838B8"/>
    <w:rsid w:val="00A74908"/>
    <w:rsid w:val="00AB60A3"/>
    <w:rsid w:val="00AD7557"/>
    <w:rsid w:val="00B2774A"/>
    <w:rsid w:val="00B6798E"/>
    <w:rsid w:val="00B71FEC"/>
    <w:rsid w:val="00B90619"/>
    <w:rsid w:val="00BD500E"/>
    <w:rsid w:val="00C5542F"/>
    <w:rsid w:val="00C80881"/>
    <w:rsid w:val="00CD1414"/>
    <w:rsid w:val="00D60EA4"/>
    <w:rsid w:val="00D71149"/>
    <w:rsid w:val="00D959F0"/>
    <w:rsid w:val="00E25D56"/>
    <w:rsid w:val="00EF3E16"/>
    <w:rsid w:val="00F9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765F"/>
  <w15:chartTrackingRefBased/>
  <w15:docId w15:val="{DBC80941-6097-48DE-9C51-44FBAE0A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7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751E"/>
    <w:pPr>
      <w:ind w:left="720"/>
      <w:contextualSpacing/>
    </w:pPr>
  </w:style>
  <w:style w:type="paragraph" w:styleId="Bezodstpw">
    <w:name w:val="No Spacing"/>
    <w:uiPriority w:val="1"/>
    <w:qFormat/>
    <w:rsid w:val="00CD141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F3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E16"/>
  </w:style>
  <w:style w:type="paragraph" w:styleId="Stopka">
    <w:name w:val="footer"/>
    <w:basedOn w:val="Normalny"/>
    <w:link w:val="StopkaZnak"/>
    <w:uiPriority w:val="99"/>
    <w:unhideWhenUsed/>
    <w:rsid w:val="00EF3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Agnieszka Dopierała</cp:lastModifiedBy>
  <cp:revision>13</cp:revision>
  <cp:lastPrinted>2023-03-03T12:06:00Z</cp:lastPrinted>
  <dcterms:created xsi:type="dcterms:W3CDTF">2023-02-03T07:41:00Z</dcterms:created>
  <dcterms:modified xsi:type="dcterms:W3CDTF">2023-03-15T13:06:00Z</dcterms:modified>
</cp:coreProperties>
</file>