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40DD" w14:textId="024209DA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Zał. Nr 2 do</w:t>
      </w:r>
      <w:r w:rsidR="00AE2AEB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 </w:t>
      </w:r>
      <w:r w:rsidR="00695C5C">
        <w:rPr>
          <w:rFonts w:ascii="Times New Roman" w:eastAsia="Times New Roman" w:hAnsi="Times New Roman" w:cs="Tahoma"/>
          <w:sz w:val="20"/>
          <w:szCs w:val="20"/>
          <w:lang w:eastAsia="pl-PL"/>
        </w:rPr>
        <w:t>Warunków Zamówienia /WZ/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74CBC6E1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8866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1</w:t>
      </w:r>
      <w:r w:rsidR="00695C5C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2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AE2AEB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3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5252FC13" w14:textId="73FFC175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zawarta w dniu …….. 2023 r. we Włocławku pomiędzy: </w:t>
      </w:r>
    </w:p>
    <w:p w14:paraId="549D4975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Powiatem Włocławskim, ul. Cyganka 28, 87-800 Włocławek,</w:t>
      </w:r>
    </w:p>
    <w:p w14:paraId="3117DE34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  888-311-57-91, Nr REGON: 910866778,</w:t>
      </w:r>
    </w:p>
    <w:p w14:paraId="7410E9BF" w14:textId="35AD9C91" w:rsidR="001A1175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605C3247" w:rsid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4C01B232" w14:textId="77777777" w:rsidR="00AE2AEB" w:rsidRPr="009A28C4" w:rsidRDefault="00AE2AEB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2A52C74" w14:textId="348A17A7" w:rsidR="00334D36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30BA3E81" w14:textId="77777777" w:rsidR="00AE2AEB" w:rsidRDefault="00AE2AEB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AAC0D50" w14:textId="0C27F50E" w:rsidR="00CF07D1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łącznie zwanymi Stronami</w:t>
      </w:r>
    </w:p>
    <w:p w14:paraId="73F0E2FD" w14:textId="77777777" w:rsidR="00334D36" w:rsidRPr="00F27597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3D79F885" w:rsidR="00CF07D1" w:rsidRPr="00F27597" w:rsidRDefault="00695C5C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695C5C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695C5C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2022 r. poz. 1710 </w:t>
      </w:r>
      <w:proofErr w:type="spellStart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>t.j</w:t>
      </w:r>
      <w:proofErr w:type="spellEnd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>.) [</w:t>
      </w:r>
      <w:proofErr w:type="spellStart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0" w:name="_Hlk61610835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0"/>
      <w:r w:rsidRPr="00695C5C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66EB94F4" w14:textId="29C56ED6" w:rsidR="00F166C6" w:rsidRPr="00695C5C" w:rsidRDefault="009A28C4" w:rsidP="00695C5C">
      <w:pPr>
        <w:pStyle w:val="Akapitzlist"/>
        <w:widowControl w:val="0"/>
        <w:numPr>
          <w:ilvl w:val="0"/>
          <w:numId w:val="18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 opracowanie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koncepcji </w:t>
      </w:r>
      <w:r w:rsidR="00A76EDE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funkcjonalno</w:t>
      </w:r>
      <w:r w:rsidR="00287393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-przestrzennej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zwanej dalej Koncepcją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oraz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komp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letnej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dokumen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tacji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projektowo-kosztorysow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ej</w:t>
      </w:r>
      <w:r w:rsidR="0057663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zwanej dalej Dokumentacją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dla zadania inwestycyjnego pn.</w:t>
      </w:r>
      <w:r w:rsidR="00AC4446" w:rsidRPr="00A76161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„</w:t>
      </w:r>
      <w:bookmarkStart w:id="1" w:name="_Hlk129699254"/>
      <w:r w:rsidR="00695C5C" w:rsidRPr="00695C5C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Zakup tomografu komputerowego wraz z rozbudową pomieszczeń przy Powiatowym Centrum Zdrowia</w:t>
      </w:r>
      <w:bookmarkEnd w:id="1"/>
      <w:r w:rsidR="00886600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”</w:t>
      </w:r>
      <w:r w:rsidR="00334D36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[Zadanie]</w:t>
      </w:r>
      <w:r w:rsidR="007F64D9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</w:t>
      </w:r>
      <w:r w:rsidR="0057663C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ną łącznie</w:t>
      </w:r>
      <w:r w:rsidR="005135B5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przedmiotem</w:t>
      </w:r>
      <w:r w:rsidR="005135B5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zamówienia</w:t>
      </w:r>
      <w:r w:rsidR="0053610D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,</w:t>
      </w:r>
      <w:r w:rsidR="007E18EB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695C5C" w:rsidRPr="00695C5C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zgodnie z zakresem rzeczowym zawartym w Warunkach Zamówienia stanowiących załącznik nr 1 do umowy oraz zgodnie ze złożoną ofertą Wykonawcy, stanowiącą załącznik nr 2 do umowy.</w:t>
      </w:r>
    </w:p>
    <w:p w14:paraId="2AAE969F" w14:textId="44DBE2DF" w:rsidR="004A0ABF" w:rsidRPr="00441EB3" w:rsidRDefault="00506FDB" w:rsidP="00695C5C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>Wykonawca</w:t>
      </w:r>
      <w:r w:rsidR="00334D36"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>jest zobowiązany</w:t>
      </w:r>
      <w:r w:rsidR="004A0ABF"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wykonać </w:t>
      </w:r>
      <w:r w:rsidR="0057663C"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="004A0ABF"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695C5C" w:rsidRPr="00441EB3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pomieszczeń pracowni, która powinna zawierać opis przyjętego rozwiązania, rysunki/rzuty z układem funkcjonalnym pomieszczeń, zestawienie powierzchni, uproszczoną kalkulację kosztów obiektu.</w:t>
      </w:r>
    </w:p>
    <w:p w14:paraId="22062779" w14:textId="5F648BC7" w:rsidR="00506FDB" w:rsidRPr="00A76161" w:rsidRDefault="0006466E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Wykonawca przekaże Zamawiającemu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wersji papierowej i elektronicznej (CD).</w:t>
      </w:r>
    </w:p>
    <w:p w14:paraId="3241DEF1" w14:textId="68069C2D" w:rsidR="005135B5" w:rsidRPr="00953789" w:rsidRDefault="00506FDB" w:rsidP="00953789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95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Zamawiający w terminie do 3 dni od otrzymania od Wykonawcy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oncepcji zobowiązuje się do przekazania ewentualnych uwag i propozycji zmian do przedstawionej koncepcji w formie pisemnej.</w:t>
      </w:r>
    </w:p>
    <w:p w14:paraId="5338CB04" w14:textId="5F1F81EC" w:rsidR="00D824E0" w:rsidRPr="00A76161" w:rsidRDefault="00D12F64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>prawa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do zaciągania zobowiązań finansowych w imieniu i na rzecz Powiatu Włocławskiego.</w:t>
      </w:r>
    </w:p>
    <w:p w14:paraId="44561BEE" w14:textId="13F924EF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246DF571" w14:textId="4E540381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="00F27E28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Odmowa uwzględnienia wymaga pisemnego uzasadnienia. </w:t>
      </w:r>
    </w:p>
    <w:p w14:paraId="296DB62F" w14:textId="0C57BAB9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 w:rsidR="001C2CF8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błędy projektowe, które Wykonawca powinien niezwłocznie naprawić po ich ujawnieniu, bez dodatkowego wynagrodzenia.</w:t>
      </w:r>
    </w:p>
    <w:p w14:paraId="031E8C38" w14:textId="21F39887" w:rsidR="0083350E" w:rsidRPr="009A28C4" w:rsidRDefault="0083350E" w:rsidP="00E007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3350E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44D12F12" w14:textId="550EA1C1" w:rsidR="00D824E0" w:rsidRPr="007A6D32" w:rsidRDefault="009A28C4" w:rsidP="007A6D32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Wykonawca wykon</w:t>
      </w:r>
      <w:r w:rsidR="001F058F"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a </w:t>
      </w:r>
      <w:r w:rsidR="00A91DD2">
        <w:rPr>
          <w:rFonts w:ascii="Times New Roman" w:eastAsia="Times New Roman" w:hAnsi="Times New Roman" w:cs="Tahoma"/>
          <w:sz w:val="24"/>
          <w:szCs w:val="20"/>
          <w:lang w:eastAsia="pl-PL"/>
        </w:rPr>
        <w:t>Dokumentacje</w:t>
      </w:r>
      <w:r w:rsidR="001F058F"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w terminie do</w:t>
      </w:r>
      <w:r w:rsidR="00287495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dnia </w:t>
      </w:r>
      <w:r w:rsidR="001C4BD9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17</w:t>
      </w:r>
      <w:r w:rsidR="00695C5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lipca</w:t>
      </w:r>
      <w:r w:rsidR="00287495" w:rsidRPr="00287495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2023 r</w:t>
      </w:r>
      <w:r w:rsidR="001F058F" w:rsidRPr="007C1309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.</w:t>
      </w:r>
      <w:r w:rsidR="001F058F" w:rsidRPr="007C1309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, </w:t>
      </w:r>
      <w:r w:rsidR="001F058F"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zastrzeżeniem ust. 2 i 3.</w:t>
      </w:r>
    </w:p>
    <w:p w14:paraId="4CE909EC" w14:textId="4C9C8EFE" w:rsidR="001F058F" w:rsidRPr="002B0691" w:rsidRDefault="001F058F" w:rsidP="007A6D32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Wykonawca zobowiązany jest przekazać Zamawiającemu Koncepcję, w terminie do dnia 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………………. 202</w:t>
      </w:r>
      <w:r w:rsidR="008964D0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3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5CF9C2A1" w14:textId="1308D642" w:rsidR="001F058F" w:rsidRPr="00287495" w:rsidRDefault="001048D9" w:rsidP="008A3460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287495">
        <w:rPr>
          <w:rFonts w:ascii="Times New Roman" w:eastAsia="Times New Roman" w:hAnsi="Times New Roman" w:cs="Tahoma"/>
          <w:sz w:val="24"/>
          <w:szCs w:val="20"/>
          <w:lang w:eastAsia="pl-PL"/>
        </w:rPr>
        <w:t>Wykonawca zobowiązany jest przekazać Zamawiającemu</w:t>
      </w:r>
      <w:bookmarkStart w:id="2" w:name="_Hlk512348481"/>
      <w:r w:rsidRPr="00287495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w terminie </w:t>
      </w:r>
      <w:bookmarkEnd w:id="2"/>
      <w:r w:rsidRPr="00287495">
        <w:rPr>
          <w:rFonts w:ascii="Times New Roman" w:eastAsia="Times New Roman" w:hAnsi="Times New Roman" w:cs="Tahoma"/>
          <w:sz w:val="24"/>
          <w:szCs w:val="20"/>
          <w:lang w:eastAsia="pl-PL"/>
        </w:rPr>
        <w:t>d</w:t>
      </w:r>
      <w:r w:rsidR="00287495" w:rsidRPr="00287495">
        <w:rPr>
          <w:rFonts w:ascii="Times New Roman" w:eastAsia="Times New Roman" w:hAnsi="Times New Roman" w:cs="Tahoma"/>
          <w:sz w:val="24"/>
          <w:szCs w:val="20"/>
          <w:lang w:eastAsia="pl-PL"/>
        </w:rPr>
        <w:t>o dnia</w:t>
      </w:r>
      <w:r w:rsidR="00695C5C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r w:rsidR="00695C5C" w:rsidRPr="00695C5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31 maja</w:t>
      </w:r>
      <w:r w:rsidR="00287495" w:rsidRPr="000741D7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2023 r.</w:t>
      </w:r>
      <w:r w:rsidRPr="00287495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projekt budowlany</w:t>
      </w:r>
      <w:r w:rsidR="00A91DD2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, </w:t>
      </w:r>
      <w:r w:rsidR="00A91DD2" w:rsidRPr="00A91DD2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>techniczny i złożenie kompletnej dokumentacji w celu uzyskania pozwolenia na budowę</w:t>
      </w:r>
      <w:r w:rsidR="00A91DD2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>.</w:t>
      </w:r>
    </w:p>
    <w:p w14:paraId="0FDA2BA1" w14:textId="43806FFC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7C00809A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6303036"/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7A6D32">
        <w:rPr>
          <w:rFonts w:ascii="Times New Roman" w:hAnsi="Times New Roman"/>
          <w:bCs/>
          <w:sz w:val="24"/>
          <w:szCs w:val="24"/>
        </w:rPr>
        <w:t>Pan</w:t>
      </w:r>
      <w:r w:rsidR="001A1175" w:rsidRPr="007A6D32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A6D32">
        <w:rPr>
          <w:rFonts w:ascii="Times New Roman" w:hAnsi="Times New Roman"/>
          <w:sz w:val="24"/>
          <w:szCs w:val="24"/>
        </w:rPr>
        <w:t>Naczelnik Wydziału Realizacji Projektów i Funduszy Zewnętrznych Starostwa Powiatowego we Włocławku, tel. 54 230465</w:t>
      </w:r>
      <w:r w:rsidR="00A802B8" w:rsidRPr="007A6D32">
        <w:rPr>
          <w:rFonts w:ascii="Times New Roman" w:hAnsi="Times New Roman"/>
          <w:sz w:val="24"/>
          <w:szCs w:val="24"/>
        </w:rPr>
        <w:t>0</w:t>
      </w:r>
      <w:r w:rsidR="001A1175" w:rsidRPr="007A6D32">
        <w:rPr>
          <w:rFonts w:ascii="Times New Roman" w:hAnsi="Times New Roman"/>
          <w:sz w:val="24"/>
          <w:szCs w:val="24"/>
        </w:rPr>
        <w:t>.</w:t>
      </w:r>
    </w:p>
    <w:p w14:paraId="7F84503B" w14:textId="48519E21" w:rsidR="00D12F64" w:rsidRPr="007A6D32" w:rsidRDefault="00D12F6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hAnsi="Times New Roman"/>
          <w:sz w:val="24"/>
          <w:szCs w:val="24"/>
        </w:rPr>
        <w:t>Do koordynacji ze strony Wykonawcy wyznacza się ………………………………..</w:t>
      </w:r>
    </w:p>
    <w:p w14:paraId="63CAD820" w14:textId="49C3F9C3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3"/>
      <w:r w:rsidR="00674C03" w:rsidRPr="007A6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3CB0E695" w:rsidR="009A28C4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698AC854" w14:textId="14521D33" w:rsidR="00857FD6" w:rsidRPr="00857FD6" w:rsidRDefault="00857FD6" w:rsidP="00857FD6">
      <w:pPr>
        <w:pStyle w:val="Akapitzlist"/>
        <w:widowControl w:val="0"/>
        <w:numPr>
          <w:ilvl w:val="0"/>
          <w:numId w:val="21"/>
        </w:numPr>
        <w:autoSpaceDE w:val="0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512349170"/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w terminie nie dłuższym niż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roboczych od dnia przekazania projektu budowlanego, o którym mowa w §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ust.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>, zgłosi ewentualne uwagi lub poinformuje Wykonawcę o akceptacji przekazanego</w:t>
      </w:r>
      <w:bookmarkEnd w:id="4"/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>projektu budowlanego. Akceptacja projektu budowlanego stanowi dla wykonawcy podstawę złożenia do stosownego organu Wniosku o wydanie decyzji pozwolenia na budowę. W przypadku konieczności dokonania poprawek w złożonym Projekcie budowlanym, Wykonawca jest zobowiązany dokonać poprawek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terminie nie dłuższym niż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857FD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roboczych.</w:t>
      </w:r>
    </w:p>
    <w:p w14:paraId="243824A3" w14:textId="02E4FB3F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541BD1"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od dnia otrzymania. </w:t>
      </w:r>
    </w:p>
    <w:p w14:paraId="18E25643" w14:textId="6F50FCF3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5" w:name="_Hlk6304534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Po sprawdzeniu przedmiotu zamówienia Zamawiający po upływie terminu, o którym mowa w ust. </w:t>
      </w:r>
      <w:r w:rsidR="00857FD6">
        <w:rPr>
          <w:rFonts w:ascii="Times New Roman" w:eastAsia="Times New Roman" w:hAnsi="Times New Roman" w:cs="Tahoma"/>
          <w:sz w:val="24"/>
          <w:szCs w:val="24"/>
          <w:lang w:eastAsia="ar-SA"/>
        </w:rPr>
        <w:t>6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857FD6"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77777777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6" w:name="_Hlk6304502"/>
      <w:bookmarkEnd w:id="5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6"/>
    <w:p w14:paraId="097DE32F" w14:textId="146778C3" w:rsidR="00CF07D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>zamówienia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</w:p>
    <w:p w14:paraId="609099D1" w14:textId="77777777" w:rsidR="00A07CA0" w:rsidRPr="002B0691" w:rsidRDefault="00A07CA0" w:rsidP="00A07CA0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353571E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04130ECC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 sprawdzenia rozwiązań projektowych, koszty materiałów i danych potrzebnych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dojazdów,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przekazania majątkowych praw autorskich, koszt nadzoru autorskiego, przeniesienie praw własności do egzemplarzy przedmiotu zamówienia</w:t>
      </w:r>
      <w:r w:rsidR="007831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783198" w:rsidRPr="00783198">
        <w:rPr>
          <w:rFonts w:ascii="Times New Roman" w:eastAsia="Times New Roman" w:hAnsi="Times New Roman" w:cs="Times New Roman"/>
          <w:sz w:val="24"/>
          <w:szCs w:val="24"/>
          <w:lang w:eastAsia="ar-SA"/>
        </w:rPr>
        <w:t>mapy</w:t>
      </w:r>
      <w:r w:rsidR="007831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3198" w:rsidRPr="007831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celów projektowych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czyli obejmuje wszystkie koszty ponoszone przez Wykonawcę w celu zrealizowania przedmiotu zamówienia. </w:t>
      </w:r>
    </w:p>
    <w:p w14:paraId="363F9965" w14:textId="7888AE43" w:rsidR="005135B5" w:rsidRPr="002A4AA8" w:rsidRDefault="009A28C4" w:rsidP="002A4AA8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AA0FF1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7" w:name="_Hlk112745899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</w:t>
      </w:r>
      <w:bookmarkEnd w:id="7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624E5B52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E007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9270AB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C74B7B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9270AB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8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56AE3108" w:rsidR="00CF07D1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0E3EF0C1" w14:textId="77777777" w:rsidR="00AE1529" w:rsidRPr="00D824E0" w:rsidRDefault="00AE1529" w:rsidP="008A18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18DC9F7A" w14:textId="0D2E9897" w:rsidR="001A1175" w:rsidRPr="007628BE" w:rsidRDefault="00E84A46" w:rsidP="007628B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117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3E60106F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Nazwa skrzynki: Starostwo Powiatowe we Włocławku</w:t>
      </w:r>
    </w:p>
    <w:p w14:paraId="06635B01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Dane identyfikacyjne skrzynki:</w:t>
      </w:r>
    </w:p>
    <w:p w14:paraId="2CA6DF53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lastRenderedPageBreak/>
        <w:t>Typ numeru PEPPOL: NIP</w:t>
      </w:r>
    </w:p>
    <w:p w14:paraId="28372C55" w14:textId="7594F117" w:rsidR="001A1175" w:rsidRPr="00EE56B4" w:rsidRDefault="001A1175" w:rsidP="001A1175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Numer PEPPOL:</w:t>
      </w:r>
      <w:r w:rsidR="00A802B8">
        <w:rPr>
          <w:rFonts w:ascii="Calibri" w:eastAsia="Calibri" w:hAnsi="Calibri" w:cs="Times New Roman"/>
          <w:b/>
          <w:spacing w:val="-10"/>
        </w:rPr>
        <w:t xml:space="preserve"> </w:t>
      </w:r>
      <w:r w:rsidR="00A802B8" w:rsidRPr="00A802B8">
        <w:rPr>
          <w:rFonts w:ascii="Times New Roman" w:hAnsi="Times New Roman"/>
          <w:b/>
          <w:sz w:val="24"/>
          <w:szCs w:val="24"/>
          <w:lang w:eastAsia="ar-SA"/>
        </w:rPr>
        <w:t>8882403080</w:t>
      </w:r>
      <w:r w:rsidR="00A802B8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4BAD5340" w14:textId="5D14CE31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Wynagrodzenie będzie płatne na podstawie faktury przelewem na konto Wykonawcy   wskazane  w   fakturze  w terminie do </w:t>
      </w:r>
      <w:r w:rsidR="00CE18E1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30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D1ED4A8" w14:textId="04DE56D7" w:rsidR="008C2696" w:rsidRPr="00CE18E1" w:rsidRDefault="00E84A46" w:rsidP="00CE18E1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jest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to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jednocześnie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dzień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obciążenia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rachunku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bankowego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6F108C45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</w:t>
      </w:r>
      <w:r w:rsidR="00196D7B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r. poz. </w:t>
      </w:r>
      <w:r w:rsidR="00EE56B4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196D7B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324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209F772B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5A52ECFC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Zamawiający w czasie </w:t>
      </w:r>
      <w:r w:rsidRPr="00541BD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jednego miesiąca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4825326B" w14:textId="6B0AFFC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35B33456" w:rsidR="009A28C4" w:rsidRPr="009A28C4" w:rsidRDefault="00D16E0B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Ustaloną przez strony formą odszkodowania za nienależyte wykonanie Umowy będą kary umowne.</w:t>
      </w:r>
    </w:p>
    <w:p w14:paraId="29DCF66F" w14:textId="5286381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6975B12B" w:rsidR="009A28C4" w:rsidRPr="007527F3" w:rsidRDefault="009A28C4" w:rsidP="007527F3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za każdy dzień zwłoki  w wykonaniu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oncepcji/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okumentacji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wysokości 0,5% wynagrodzenia brutto wymienionego w 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nów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określ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onych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 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7FAE7F56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</w:t>
      </w:r>
      <w:r w:rsidR="00D16E0B">
        <w:rPr>
          <w:rFonts w:ascii="Times New Roman" w:eastAsia="Times New Roman" w:hAnsi="Times New Roman" w:cs="Times New Roman"/>
          <w:sz w:val="24"/>
          <w:szCs w:val="24"/>
          <w:lang w:eastAsia="ar-SA"/>
        </w:rPr>
        <w:t>ad i usterek w Dokumentacji</w:t>
      </w:r>
      <w:r w:rsidR="009C01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wysokości 0,5%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2A4AA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5A00C93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5835D9CD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Wykonawca odpowiedzialność, w 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6457FE20" w:rsidR="009A28C4" w:rsidRPr="009A28C4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zobowiązuje się zapłacić Wykonawcy kary umowne w wysokości 10%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wynagrodzenia brutto wymienionego w §</w:t>
      </w:r>
      <w:r w:rsidR="00C74B7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5EEDB4CE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zastrzegają sobie prawo dochodzenia odszkodowania uzupełniającego do wysokości rzeczywiście poni</w:t>
      </w:r>
      <w:r w:rsidR="0037243D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36C7FB3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68E22973" w:rsidR="00CF07D1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475D20AE" w14:textId="77777777" w:rsidR="00196D7B" w:rsidRPr="00D824E0" w:rsidRDefault="00196D7B" w:rsidP="00196D7B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6D41AEA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4662A6AD" w14:textId="4A695ECF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 w:rsidR="0037243D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1A10FD1" w14:textId="2AAD9FD3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8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8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225291C8" w14:textId="203CEEA9" w:rsidR="00CF07D1" w:rsidRPr="009A28C4" w:rsidRDefault="009A28C4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przedmiotu zamówienia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  <w:r w:rsidR="00C81DCF"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81DCF"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71FB30DD" w14:textId="6F44CEA9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0C4B3334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>02</w:t>
      </w:r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2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r. poz. </w:t>
      </w:r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2509</w:t>
      </w:r>
      <w:r w:rsidR="00046FD9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proofErr w:type="spellStart"/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t.j</w:t>
      </w:r>
      <w:proofErr w:type="spellEnd"/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2178D1F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07AA260C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</w:t>
      </w:r>
      <w:bookmarkStart w:id="9" w:name="_Hlk11300912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bookmarkEnd w:id="9"/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i zapłaty wynagrodzenia określonego w </w:t>
      </w:r>
      <w:r w:rsidR="005023EA" w:rsidRP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>5.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30B7E6D4" w14:textId="00BA8426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bookmarkStart w:id="10" w:name="_Hlk112234347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bookmarkEnd w:id="10"/>
    <w:p w14:paraId="26D9A2F3" w14:textId="7D4659F6" w:rsidR="00434621" w:rsidRPr="00503A55" w:rsidRDefault="00434621" w:rsidP="00503A5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 w:rsidR="005023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064D065E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53F9FF91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38CE3917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5A70F1E8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Okazanie przez Wykonawcę dowodów rozliczenia się z podwykonawcami za prace będące przedmiotem odbioru stanowi podstawę do dokonania odbioru przedmiotu zamówienia. </w:t>
      </w: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podwykonawców Wykonawca złoży, jako załącznik do faktury, stosowne oświadczenie o zrealizowaniu przedmiotu zamówienia bez udziału podwykonawców.</w:t>
      </w:r>
    </w:p>
    <w:p w14:paraId="1A5843CF" w14:textId="3A1588EE" w:rsidR="008C2696" w:rsidRPr="008C2696" w:rsidRDefault="00434621" w:rsidP="008C269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182670A7" w14:textId="6B56EB99" w:rsidR="0080019D" w:rsidRPr="0080019D" w:rsidRDefault="0080019D" w:rsidP="0080019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0019D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2</w:t>
      </w:r>
    </w:p>
    <w:p w14:paraId="085ADCD1" w14:textId="0452337A" w:rsidR="00CF07D1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Powstałe w trakcie realizacji umowy spory strony zobowiązują się w pierwszej kolejności rozwiązywać polubownie. W przypadku braku porozumienia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 terminie 1 miesiąca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spory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inicjatywy zainteresowanej Strony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rozpatrywane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będą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na drodze postępowania sądowego w sądzie właściwym dla siedziby Zamawiającego. </w:t>
      </w:r>
    </w:p>
    <w:p w14:paraId="3A0593DA" w14:textId="11679C39" w:rsidR="009A28C4" w:rsidRP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p w14:paraId="20D5F1DA" w14:textId="5E55B355" w:rsidR="00CF07D1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26E0BA9A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4</w:t>
      </w:r>
    </w:p>
    <w:p w14:paraId="17EA08A8" w14:textId="2F61AF15" w:rsidR="00CF07D1" w:rsidRP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31ABDF86" w14:textId="7E8F5D34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5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0D12D3BB" w14:textId="77777777" w:rsidR="009A28C4" w:rsidRPr="009A28C4" w:rsidRDefault="009A28C4" w:rsidP="002A4AA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1CA9B74" w14:textId="0E891B88" w:rsidR="007D2525" w:rsidRDefault="009A28C4" w:rsidP="008A3460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56502AB3" w14:textId="77777777" w:rsidR="00A91DD2" w:rsidRPr="002A4AA8" w:rsidRDefault="00A91DD2" w:rsidP="005023EA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3C388F03" w14:textId="60BCFD46" w:rsidR="009A28C4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A91DD2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</w:t>
      </w:r>
      <w:r w:rsidR="007D2525"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,</w:t>
      </w:r>
    </w:p>
    <w:p w14:paraId="49F71582" w14:textId="0278A618" w:rsidR="00D06A48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</w:p>
    <w:sectPr w:rsidR="00D06A48" w:rsidRPr="007D2525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65206" w14:textId="77777777" w:rsidR="008C429F" w:rsidRDefault="008C429F">
      <w:pPr>
        <w:spacing w:after="0" w:line="240" w:lineRule="auto"/>
      </w:pPr>
      <w:r>
        <w:separator/>
      </w:r>
    </w:p>
  </w:endnote>
  <w:endnote w:type="continuationSeparator" w:id="0">
    <w:p w14:paraId="38FC32DC" w14:textId="77777777" w:rsidR="008C429F" w:rsidRDefault="008C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942533"/>
      <w:docPartObj>
        <w:docPartGallery w:val="Page Numbers (Bottom of Page)"/>
        <w:docPartUnique/>
      </w:docPartObj>
    </w:sdtPr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523409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3F96D" w14:textId="77777777" w:rsidR="008C429F" w:rsidRDefault="008C429F">
      <w:pPr>
        <w:spacing w:after="0" w:line="240" w:lineRule="auto"/>
      </w:pPr>
      <w:r>
        <w:separator/>
      </w:r>
    </w:p>
  </w:footnote>
  <w:footnote w:type="continuationSeparator" w:id="0">
    <w:p w14:paraId="1CE78BC7" w14:textId="77777777" w:rsidR="008C429F" w:rsidRDefault="008C4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EA66D0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DE14657A"/>
    <w:lvl w:ilvl="0" w:tplc="84DC55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6F7"/>
    <w:multiLevelType w:val="hybridMultilevel"/>
    <w:tmpl w:val="016274A8"/>
    <w:lvl w:ilvl="0" w:tplc="D368F9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418"/>
    <w:multiLevelType w:val="multilevel"/>
    <w:tmpl w:val="2312E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123D1"/>
    <w:multiLevelType w:val="hybridMultilevel"/>
    <w:tmpl w:val="6860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20D78"/>
    <w:multiLevelType w:val="hybridMultilevel"/>
    <w:tmpl w:val="BD1C4F16"/>
    <w:lvl w:ilvl="0" w:tplc="6FEA00E2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7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20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90A12"/>
    <w:multiLevelType w:val="hybridMultilevel"/>
    <w:tmpl w:val="B7942980"/>
    <w:lvl w:ilvl="0" w:tplc="69FE97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2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90E15"/>
    <w:multiLevelType w:val="hybridMultilevel"/>
    <w:tmpl w:val="2576A3F6"/>
    <w:lvl w:ilvl="0" w:tplc="812C16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66607">
    <w:abstractNumId w:val="0"/>
  </w:num>
  <w:num w:numId="2" w16cid:durableId="1874465821">
    <w:abstractNumId w:val="2"/>
  </w:num>
  <w:num w:numId="3" w16cid:durableId="1917977025">
    <w:abstractNumId w:val="16"/>
  </w:num>
  <w:num w:numId="4" w16cid:durableId="260771078">
    <w:abstractNumId w:val="1"/>
  </w:num>
  <w:num w:numId="5" w16cid:durableId="1318454868">
    <w:abstractNumId w:val="24"/>
  </w:num>
  <w:num w:numId="6" w16cid:durableId="609168793">
    <w:abstractNumId w:val="4"/>
  </w:num>
  <w:num w:numId="7" w16cid:durableId="613564655">
    <w:abstractNumId w:val="18"/>
  </w:num>
  <w:num w:numId="8" w16cid:durableId="986974989">
    <w:abstractNumId w:val="20"/>
  </w:num>
  <w:num w:numId="9" w16cid:durableId="581256735">
    <w:abstractNumId w:val="15"/>
  </w:num>
  <w:num w:numId="10" w16cid:durableId="2006785846">
    <w:abstractNumId w:val="19"/>
  </w:num>
  <w:num w:numId="11" w16cid:durableId="1041444104">
    <w:abstractNumId w:val="5"/>
  </w:num>
  <w:num w:numId="12" w16cid:durableId="429743064">
    <w:abstractNumId w:val="22"/>
  </w:num>
  <w:num w:numId="13" w16cid:durableId="1174613698">
    <w:abstractNumId w:val="23"/>
  </w:num>
  <w:num w:numId="14" w16cid:durableId="1182474279">
    <w:abstractNumId w:val="13"/>
  </w:num>
  <w:num w:numId="15" w16cid:durableId="1893073008">
    <w:abstractNumId w:val="10"/>
  </w:num>
  <w:num w:numId="16" w16cid:durableId="2000037029">
    <w:abstractNumId w:val="3"/>
  </w:num>
  <w:num w:numId="17" w16cid:durableId="1856267366">
    <w:abstractNumId w:val="12"/>
  </w:num>
  <w:num w:numId="18" w16cid:durableId="282732800">
    <w:abstractNumId w:val="7"/>
  </w:num>
  <w:num w:numId="19" w16cid:durableId="1209605780">
    <w:abstractNumId w:val="17"/>
  </w:num>
  <w:num w:numId="20" w16cid:durableId="119884129">
    <w:abstractNumId w:val="14"/>
  </w:num>
  <w:num w:numId="21" w16cid:durableId="203255292">
    <w:abstractNumId w:val="9"/>
  </w:num>
  <w:num w:numId="22" w16cid:durableId="492184859">
    <w:abstractNumId w:val="11"/>
  </w:num>
  <w:num w:numId="23" w16cid:durableId="598366058">
    <w:abstractNumId w:val="21"/>
  </w:num>
  <w:num w:numId="24" w16cid:durableId="767655821">
    <w:abstractNumId w:val="6"/>
  </w:num>
  <w:num w:numId="25" w16cid:durableId="565192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9060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2B9A"/>
    <w:rsid w:val="00006B42"/>
    <w:rsid w:val="00023147"/>
    <w:rsid w:val="00034B8B"/>
    <w:rsid w:val="00046FD9"/>
    <w:rsid w:val="0004737D"/>
    <w:rsid w:val="00051C62"/>
    <w:rsid w:val="0006466E"/>
    <w:rsid w:val="00071F37"/>
    <w:rsid w:val="000741D7"/>
    <w:rsid w:val="0009318C"/>
    <w:rsid w:val="000C42A4"/>
    <w:rsid w:val="000E1964"/>
    <w:rsid w:val="000F1E17"/>
    <w:rsid w:val="000F421B"/>
    <w:rsid w:val="001048D9"/>
    <w:rsid w:val="00152BF7"/>
    <w:rsid w:val="00196D7B"/>
    <w:rsid w:val="001A1175"/>
    <w:rsid w:val="001A611A"/>
    <w:rsid w:val="001B18CB"/>
    <w:rsid w:val="001C2CF8"/>
    <w:rsid w:val="001C4BD9"/>
    <w:rsid w:val="001F058F"/>
    <w:rsid w:val="00211D2A"/>
    <w:rsid w:val="00287393"/>
    <w:rsid w:val="00287495"/>
    <w:rsid w:val="002A4AA8"/>
    <w:rsid w:val="002B00C9"/>
    <w:rsid w:val="002B0691"/>
    <w:rsid w:val="003125C9"/>
    <w:rsid w:val="00334D36"/>
    <w:rsid w:val="00343F94"/>
    <w:rsid w:val="0037243D"/>
    <w:rsid w:val="003E09CA"/>
    <w:rsid w:val="003F5ED6"/>
    <w:rsid w:val="004119C6"/>
    <w:rsid w:val="004228AE"/>
    <w:rsid w:val="00434621"/>
    <w:rsid w:val="00441EB3"/>
    <w:rsid w:val="00446E9F"/>
    <w:rsid w:val="00463702"/>
    <w:rsid w:val="00494735"/>
    <w:rsid w:val="004A0155"/>
    <w:rsid w:val="004A0ABF"/>
    <w:rsid w:val="004A4E95"/>
    <w:rsid w:val="004B25AD"/>
    <w:rsid w:val="004E5AC1"/>
    <w:rsid w:val="005023EA"/>
    <w:rsid w:val="00503A55"/>
    <w:rsid w:val="00506FDB"/>
    <w:rsid w:val="005135B5"/>
    <w:rsid w:val="0053610D"/>
    <w:rsid w:val="00536CC2"/>
    <w:rsid w:val="00541BD1"/>
    <w:rsid w:val="0056283E"/>
    <w:rsid w:val="005648C2"/>
    <w:rsid w:val="0057663C"/>
    <w:rsid w:val="00594524"/>
    <w:rsid w:val="005A11E2"/>
    <w:rsid w:val="005B172A"/>
    <w:rsid w:val="005B1D8E"/>
    <w:rsid w:val="005D17C3"/>
    <w:rsid w:val="00610037"/>
    <w:rsid w:val="00641F72"/>
    <w:rsid w:val="0064582E"/>
    <w:rsid w:val="00674C03"/>
    <w:rsid w:val="00680494"/>
    <w:rsid w:val="00695C5C"/>
    <w:rsid w:val="006D02AB"/>
    <w:rsid w:val="007126B5"/>
    <w:rsid w:val="00715E51"/>
    <w:rsid w:val="007527F3"/>
    <w:rsid w:val="007628BE"/>
    <w:rsid w:val="00783198"/>
    <w:rsid w:val="007853EC"/>
    <w:rsid w:val="007A6D32"/>
    <w:rsid w:val="007C1309"/>
    <w:rsid w:val="007D2525"/>
    <w:rsid w:val="007E18EB"/>
    <w:rsid w:val="007F64D9"/>
    <w:rsid w:val="0080019D"/>
    <w:rsid w:val="00807CA9"/>
    <w:rsid w:val="00825ED5"/>
    <w:rsid w:val="0083350E"/>
    <w:rsid w:val="00850F13"/>
    <w:rsid w:val="008525F4"/>
    <w:rsid w:val="00857FD6"/>
    <w:rsid w:val="0087267F"/>
    <w:rsid w:val="00886600"/>
    <w:rsid w:val="008964D0"/>
    <w:rsid w:val="008A18CE"/>
    <w:rsid w:val="008A1F9D"/>
    <w:rsid w:val="008A3460"/>
    <w:rsid w:val="008C02FF"/>
    <w:rsid w:val="008C2696"/>
    <w:rsid w:val="008C429F"/>
    <w:rsid w:val="008D370A"/>
    <w:rsid w:val="008F0FDE"/>
    <w:rsid w:val="00922437"/>
    <w:rsid w:val="00925287"/>
    <w:rsid w:val="009270AB"/>
    <w:rsid w:val="00945DD1"/>
    <w:rsid w:val="00953789"/>
    <w:rsid w:val="00971809"/>
    <w:rsid w:val="009A031D"/>
    <w:rsid w:val="009A28C4"/>
    <w:rsid w:val="009C01C5"/>
    <w:rsid w:val="009C2A57"/>
    <w:rsid w:val="00A03A68"/>
    <w:rsid w:val="00A07CA0"/>
    <w:rsid w:val="00A35C21"/>
    <w:rsid w:val="00A503EE"/>
    <w:rsid w:val="00A76161"/>
    <w:rsid w:val="00A76EDE"/>
    <w:rsid w:val="00A802B8"/>
    <w:rsid w:val="00A9079D"/>
    <w:rsid w:val="00A91DD2"/>
    <w:rsid w:val="00AA0966"/>
    <w:rsid w:val="00AC4446"/>
    <w:rsid w:val="00AE1529"/>
    <w:rsid w:val="00AE2AEB"/>
    <w:rsid w:val="00AE31B1"/>
    <w:rsid w:val="00B47FA8"/>
    <w:rsid w:val="00B71FA8"/>
    <w:rsid w:val="00BB61E8"/>
    <w:rsid w:val="00C414EE"/>
    <w:rsid w:val="00C64FF5"/>
    <w:rsid w:val="00C73B00"/>
    <w:rsid w:val="00C74B7B"/>
    <w:rsid w:val="00C77F0F"/>
    <w:rsid w:val="00C81DCF"/>
    <w:rsid w:val="00CB7A76"/>
    <w:rsid w:val="00CD71A4"/>
    <w:rsid w:val="00CE18E1"/>
    <w:rsid w:val="00CF07D1"/>
    <w:rsid w:val="00D06A48"/>
    <w:rsid w:val="00D12F64"/>
    <w:rsid w:val="00D163CC"/>
    <w:rsid w:val="00D16E0B"/>
    <w:rsid w:val="00D26971"/>
    <w:rsid w:val="00D5587A"/>
    <w:rsid w:val="00D824E0"/>
    <w:rsid w:val="00DC2A1C"/>
    <w:rsid w:val="00E0077A"/>
    <w:rsid w:val="00E05209"/>
    <w:rsid w:val="00E1011B"/>
    <w:rsid w:val="00E620EB"/>
    <w:rsid w:val="00E678B1"/>
    <w:rsid w:val="00E84A46"/>
    <w:rsid w:val="00EE56B4"/>
    <w:rsid w:val="00F166C6"/>
    <w:rsid w:val="00F258FC"/>
    <w:rsid w:val="00F27597"/>
    <w:rsid w:val="00F27E28"/>
    <w:rsid w:val="00F470ED"/>
    <w:rsid w:val="00FA699D"/>
    <w:rsid w:val="00FC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1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basedOn w:val="Normalny"/>
    <w:uiPriority w:val="34"/>
    <w:qFormat/>
    <w:rsid w:val="001A117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4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2369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5</cp:revision>
  <cp:lastPrinted>2023-03-16T11:34:00Z</cp:lastPrinted>
  <dcterms:created xsi:type="dcterms:W3CDTF">2023-03-15T11:47:00Z</dcterms:created>
  <dcterms:modified xsi:type="dcterms:W3CDTF">2023-03-16T11:34:00Z</dcterms:modified>
</cp:coreProperties>
</file>