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73C90A9F"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EA5931">
        <w:rPr>
          <w:sz w:val="16"/>
          <w:szCs w:val="16"/>
        </w:rPr>
        <w:t>494</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5172094D"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EA5931">
        <w:rPr>
          <w:sz w:val="16"/>
          <w:szCs w:val="16"/>
        </w:rPr>
        <w:t>14 września</w:t>
      </w:r>
      <w:r w:rsidR="00C706F5">
        <w:rPr>
          <w:sz w:val="16"/>
          <w:szCs w:val="16"/>
        </w:rPr>
        <w:t>.</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A714C3" w:rsidRDefault="0046085A" w:rsidP="0046085A">
      <w:pPr>
        <w:jc w:val="center"/>
        <w:rPr>
          <w:b/>
          <w:bCs/>
          <w:kern w:val="0"/>
          <w:sz w:val="28"/>
          <w:szCs w:val="28"/>
          <w:lang w:eastAsia="en-US"/>
        </w:rPr>
      </w:pPr>
      <w:r w:rsidRPr="00A714C3">
        <w:rPr>
          <w:b/>
          <w:kern w:val="0"/>
          <w:sz w:val="28"/>
          <w:szCs w:val="28"/>
          <w:lang w:eastAsia="en-US"/>
        </w:rPr>
        <w:t>NA ZADANIE PN.:</w:t>
      </w:r>
    </w:p>
    <w:p w14:paraId="70E70F24" w14:textId="5B1F946E" w:rsidR="002873A4" w:rsidRDefault="00442FAB" w:rsidP="00442FAB">
      <w:pPr>
        <w:spacing w:after="240" w:line="360" w:lineRule="auto"/>
        <w:jc w:val="center"/>
        <w:rPr>
          <w:rFonts w:ascii="Arial" w:hAnsi="Arial" w:cs="Arial"/>
          <w:sz w:val="30"/>
          <w:szCs w:val="30"/>
        </w:rPr>
      </w:pPr>
      <w:bookmarkStart w:id="0" w:name="_Hlk80263158"/>
      <w:r w:rsidRPr="00B07290">
        <w:rPr>
          <w:b/>
          <w:sz w:val="24"/>
        </w:rPr>
        <w:t>„Przebudowa drogi powiatowej nr 2907C Mostki - Kowal od km 2+762 do km 3+743 – chodnik, długość odc. 981 mb”</w:t>
      </w:r>
      <w:r w:rsidR="00C706F5">
        <w:rPr>
          <w:b/>
          <w:sz w:val="24"/>
        </w:rPr>
        <w:t xml:space="preserve"> – II postępowanie</w:t>
      </w:r>
    </w:p>
    <w:bookmarkEnd w:id="0"/>
    <w:p w14:paraId="563C37FD" w14:textId="05B14674"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1AFE96ED"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D44549">
        <w:rPr>
          <w:b/>
          <w:kern w:val="0"/>
          <w:sz w:val="24"/>
          <w:lang w:eastAsia="en-US"/>
        </w:rPr>
        <w:t>1</w:t>
      </w:r>
      <w:r w:rsidR="00C706F5">
        <w:rPr>
          <w:b/>
          <w:kern w:val="0"/>
          <w:sz w:val="24"/>
          <w:lang w:eastAsia="en-US"/>
        </w:rPr>
        <w:t>4</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043F1DE5"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EA5931">
        <w:rPr>
          <w:bCs/>
          <w:spacing w:val="0"/>
          <w:kern w:val="0"/>
          <w:sz w:val="24"/>
          <w:lang w:eastAsia="ar-SA"/>
        </w:rPr>
        <w:t xml:space="preserve"> 14 września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1"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1"/>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4C53E0A1"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991410">
        <w:rPr>
          <w:spacing w:val="0"/>
          <w:kern w:val="0"/>
          <w:sz w:val="24"/>
        </w:rPr>
        <w:t>21</w:t>
      </w:r>
      <w:r>
        <w:rPr>
          <w:spacing w:val="0"/>
          <w:kern w:val="0"/>
          <w:sz w:val="24"/>
        </w:rPr>
        <w:t xml:space="preserve"> r. poz. </w:t>
      </w:r>
      <w:r w:rsidR="00991410">
        <w:rPr>
          <w:spacing w:val="0"/>
          <w:kern w:val="0"/>
          <w:sz w:val="24"/>
        </w:rPr>
        <w:t>112</w:t>
      </w:r>
      <w:r>
        <w:rPr>
          <w:spacing w:val="0"/>
          <w:kern w:val="0"/>
          <w:sz w:val="24"/>
        </w:rPr>
        <w:t>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560B44" w14:textId="571B7406" w:rsidR="00EB692E" w:rsidRPr="00EB692E" w:rsidRDefault="001033B9" w:rsidP="00EB692E">
      <w:pPr>
        <w:pStyle w:val="Akapitzlist"/>
        <w:numPr>
          <w:ilvl w:val="0"/>
          <w:numId w:val="6"/>
        </w:numPr>
        <w:spacing w:after="120" w:line="240" w:lineRule="auto"/>
        <w:ind w:left="357" w:hanging="357"/>
        <w:contextualSpacing w:val="0"/>
        <w:jc w:val="both"/>
        <w:rPr>
          <w:spacing w:val="0"/>
          <w:kern w:val="0"/>
          <w:sz w:val="24"/>
        </w:rPr>
      </w:pPr>
      <w:r w:rsidRPr="00EB692E">
        <w:rPr>
          <w:spacing w:val="0"/>
          <w:kern w:val="0"/>
          <w:sz w:val="24"/>
        </w:rPr>
        <w:t xml:space="preserve">Przedmiotem zamówienia jest </w:t>
      </w:r>
      <w:r w:rsidR="00C26939" w:rsidRPr="00B07290">
        <w:rPr>
          <w:b/>
          <w:sz w:val="24"/>
        </w:rPr>
        <w:t>Przebudowa drogi powiatowej nr 2907C Mostki - Kowal od km 2+762 do km 3+743 – chodnik, długość odc. 981 mb</w:t>
      </w:r>
      <w:r w:rsidR="00C26939">
        <w:rPr>
          <w:b/>
          <w:sz w:val="24"/>
        </w:rPr>
        <w:t>.</w:t>
      </w:r>
    </w:p>
    <w:p w14:paraId="644FB6FA" w14:textId="67582CE5"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zawierają: dokumentacja projektowa, specyfikacja techniczna wykonania i odbioru robót, przedmiary robót – </w:t>
      </w:r>
      <w:r w:rsidRPr="00E40D01">
        <w:rPr>
          <w:b/>
          <w:sz w:val="24"/>
        </w:rPr>
        <w:t xml:space="preserve">Załącznik nr </w:t>
      </w:r>
      <w:r w:rsidR="00EB692E">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77777777" w:rsidR="00C85B66" w:rsidRPr="00C85B66"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099F73A7" w14:textId="77777777" w:rsidR="005E5069" w:rsidRPr="005E5069" w:rsidRDefault="00C85B66" w:rsidP="005E5069">
      <w:pPr>
        <w:pStyle w:val="Akapitzlist"/>
        <w:numPr>
          <w:ilvl w:val="0"/>
          <w:numId w:val="6"/>
        </w:numPr>
        <w:spacing w:after="120" w:line="240" w:lineRule="auto"/>
        <w:ind w:left="357" w:hanging="357"/>
        <w:contextualSpacing w:val="0"/>
        <w:jc w:val="both"/>
        <w:rPr>
          <w:b/>
          <w:bCs/>
          <w:sz w:val="24"/>
        </w:rPr>
      </w:pPr>
      <w:r w:rsidRPr="005E5069">
        <w:rPr>
          <w:b/>
          <w:bCs/>
          <w:sz w:val="24"/>
        </w:rPr>
        <w:t xml:space="preserve">Okres gwarancji i rękojmi </w:t>
      </w:r>
      <w:r w:rsidR="00C706F5" w:rsidRPr="005E5069">
        <w:rPr>
          <w:b/>
          <w:bCs/>
          <w:sz w:val="24"/>
        </w:rPr>
        <w:t>jest kryterium oceny ofert</w:t>
      </w:r>
      <w:r w:rsidR="005E5069" w:rsidRPr="005E5069">
        <w:rPr>
          <w:b/>
          <w:bCs/>
          <w:sz w:val="24"/>
        </w:rPr>
        <w:t>.</w:t>
      </w:r>
    </w:p>
    <w:p w14:paraId="74B0B3D8" w14:textId="398BA4A2" w:rsidR="005E5069" w:rsidRPr="005E5069" w:rsidRDefault="005E5069" w:rsidP="005E5069">
      <w:pPr>
        <w:pStyle w:val="Akapitzlist"/>
        <w:spacing w:after="120" w:line="240" w:lineRule="auto"/>
        <w:ind w:left="357"/>
        <w:contextualSpacing w:val="0"/>
        <w:jc w:val="both"/>
        <w:rPr>
          <w:b/>
          <w:bCs/>
          <w:color w:val="FF0000"/>
          <w:sz w:val="24"/>
        </w:rPr>
      </w:pPr>
      <w:r w:rsidRPr="005E5069">
        <w:rPr>
          <w:sz w:val="24"/>
        </w:rPr>
        <w:t>Minimalny okres gwarancji i rękojmi wynosi 5 lat, maksymalny okres gwarancji i rękojmi wynosi 7 lat.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t>Wymagania w zakresie zatrudnienia na podstawie stosunku pracy, w okolicznościach, o których mowa w art. 95</w:t>
      </w:r>
      <w:r w:rsidR="008277F3">
        <w:rPr>
          <w:b/>
          <w:sz w:val="24"/>
        </w:rPr>
        <w:t xml:space="preserve"> pzp</w:t>
      </w:r>
      <w:r w:rsidRPr="008277F3">
        <w:rPr>
          <w:b/>
          <w:sz w:val="24"/>
        </w:rPr>
        <w:t>:</w:t>
      </w:r>
    </w:p>
    <w:p w14:paraId="64332322" w14:textId="3FD15533"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lastRenderedPageBreak/>
        <w:t xml:space="preserve">Zamawiający wymaga na podstawie art. 95 ust. 1 pzp </w:t>
      </w:r>
      <w:r w:rsidRPr="00C85B66">
        <w:rPr>
          <w:rFonts w:eastAsiaTheme="minorHAnsi"/>
          <w:spacing w:val="0"/>
          <w:kern w:val="0"/>
          <w:sz w:val="24"/>
          <w:lang w:eastAsia="en-US"/>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2019 r. poz. 1040, 1043 i 1495) dotyczącego pracowników fizycznych wykonujących przy realizacji Zadania </w:t>
      </w:r>
      <w:r w:rsidRPr="00C85B66">
        <w:rPr>
          <w:spacing w:val="0"/>
          <w:kern w:val="0"/>
          <w:sz w:val="24"/>
        </w:rPr>
        <w:t xml:space="preserve">roboty: </w:t>
      </w:r>
      <w:r w:rsidRPr="00353A11">
        <w:rPr>
          <w:spacing w:val="0"/>
          <w:kern w:val="0"/>
          <w:sz w:val="24"/>
        </w:rPr>
        <w:t xml:space="preserve">przygotowawcze, </w:t>
      </w:r>
      <w:r w:rsidR="00FD33BB" w:rsidRPr="00353A11">
        <w:rPr>
          <w:spacing w:val="0"/>
          <w:kern w:val="0"/>
          <w:sz w:val="24"/>
        </w:rPr>
        <w:t xml:space="preserve">rozbiórkowe, </w:t>
      </w:r>
      <w:r w:rsidR="001D1740">
        <w:rPr>
          <w:spacing w:val="0"/>
          <w:kern w:val="0"/>
          <w:sz w:val="24"/>
        </w:rPr>
        <w:t>brukarskie.</w:t>
      </w:r>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4025DA0" w14:textId="41554C4C" w:rsidR="00844D6A" w:rsidRPr="00844D6A" w:rsidRDefault="00EC1F5A" w:rsidP="00844D6A">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5061A58C" w14:textId="3AEFA693" w:rsidR="00844D6A" w:rsidRPr="00725A02" w:rsidRDefault="00844D6A" w:rsidP="00844D6A">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t xml:space="preserve">Zamawiający nie dopuszcza składania ofert częściowych – uzasadnienie </w:t>
      </w:r>
      <w:r w:rsidR="00725A02">
        <w:rPr>
          <w:b/>
          <w:spacing w:val="0"/>
          <w:kern w:val="0"/>
          <w:sz w:val="24"/>
        </w:rPr>
        <w:t xml:space="preserve">braku podziału zamówienia na części: </w:t>
      </w:r>
      <w:r w:rsidRPr="00725A02">
        <w:rPr>
          <w:sz w:val="24"/>
        </w:rPr>
        <w:t xml:space="preserve">Podział przedmiotowego zamówienia na części jest niezasadny z punktu widzenia technicznego i organizacyjnego. Podział poszczególnych rodzajów robót na części, które składają się na całość realizacji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14:paraId="7912DF91" w14:textId="1D0E806D" w:rsidR="006418E8" w:rsidRPr="006418E8" w:rsidRDefault="00BD21B2" w:rsidP="006418E8">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2F03507F" w14:textId="5D83CE1F" w:rsidR="006418E8" w:rsidRPr="006418E8" w:rsidRDefault="006418E8" w:rsidP="006418E8">
      <w:pPr>
        <w:autoSpaceDE w:val="0"/>
        <w:autoSpaceDN w:val="0"/>
        <w:adjustRightInd w:val="0"/>
        <w:spacing w:after="240" w:line="240" w:lineRule="auto"/>
        <w:jc w:val="both"/>
        <w:rPr>
          <w:b/>
          <w:bCs/>
          <w:kern w:val="0"/>
          <w:sz w:val="24"/>
          <w:lang w:eastAsia="en-US"/>
        </w:rPr>
      </w:pPr>
      <w:r w:rsidRPr="006418E8">
        <w:rPr>
          <w:b/>
          <w:bCs/>
          <w:kern w:val="0"/>
          <w:sz w:val="24"/>
          <w:lang w:eastAsia="en-US"/>
        </w:rPr>
        <w:t xml:space="preserve">45.23.30.00 – 9 Roboty  w zakresie konstruowania, fundamentowania oraz wykonania nawierzchni autostrad i dróg        </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5D34189C" w:rsidR="007C5E0E"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C706F5">
        <w:rPr>
          <w:b/>
          <w:bCs/>
          <w:spacing w:val="0"/>
          <w:kern w:val="0"/>
          <w:sz w:val="24"/>
        </w:rPr>
        <w:t>60</w:t>
      </w:r>
      <w:r w:rsidR="00753818" w:rsidRPr="007F527B">
        <w:rPr>
          <w:b/>
          <w:bCs/>
          <w:spacing w:val="0"/>
          <w:kern w:val="0"/>
          <w:sz w:val="24"/>
        </w:rPr>
        <w:t xml:space="preserve"> dni</w:t>
      </w:r>
      <w:r w:rsidR="00410504" w:rsidRPr="007F527B">
        <w:rPr>
          <w:spacing w:val="0"/>
          <w:kern w:val="0"/>
          <w:sz w:val="24"/>
        </w:rPr>
        <w:t xml:space="preserve"> </w:t>
      </w:r>
      <w:r w:rsidR="00356F0D" w:rsidRPr="007F527B">
        <w:rPr>
          <w:b/>
          <w:spacing w:val="0"/>
          <w:kern w:val="0"/>
          <w:sz w:val="24"/>
        </w:rPr>
        <w:t>od dnia zawarcia umowy.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 xml:space="preserve">INFORMACJE O ŚRODKACH KOMUNIKACJI ELEKTRONICZNEJ, PRZY UŻYCIU KTÓRYCH ZAMAWIAJĄCY BĘDZIE KOMUNIKOWAŁ SIĘ Z </w:t>
      </w:r>
      <w:r w:rsidRPr="006D6E8C">
        <w:rPr>
          <w:b/>
          <w:spacing w:val="0"/>
          <w:kern w:val="0"/>
          <w:sz w:val="24"/>
        </w:rPr>
        <w:lastRenderedPageBreak/>
        <w:t>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8"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9"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0"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lastRenderedPageBreak/>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8A64F7" w:rsidP="005817FC">
      <w:pPr>
        <w:spacing w:after="120" w:line="240" w:lineRule="auto"/>
        <w:ind w:firstLine="357"/>
        <w:rPr>
          <w:sz w:val="24"/>
          <w:lang w:val="en-US"/>
        </w:rPr>
      </w:pPr>
      <w:hyperlink r:id="rId11" w:history="1">
        <w:r w:rsidR="005817FC" w:rsidRPr="00CD29BA">
          <w:rPr>
            <w:rStyle w:val="Hipercze"/>
            <w:sz w:val="24"/>
            <w:lang w:val="en-US"/>
          </w:rPr>
          <w:t>https://pow-wloclawski.rbip.mojregion.info/typy-tresci/zamowienia-publiczne/</w:t>
        </w:r>
      </w:hyperlink>
    </w:p>
    <w:p w14:paraId="0216F6B1" w14:textId="7A781C5A" w:rsidR="00752B7C" w:rsidRPr="001C33D2" w:rsidRDefault="00752B7C" w:rsidP="00074778">
      <w:pPr>
        <w:pStyle w:val="Akapitzlist"/>
        <w:spacing w:after="120"/>
        <w:ind w:left="357"/>
        <w:contextualSpacing w:val="0"/>
        <w:jc w:val="both"/>
        <w:rPr>
          <w:b/>
          <w:bCs/>
          <w:spacing w:val="0"/>
          <w:kern w:val="0"/>
          <w:sz w:val="24"/>
        </w:rPr>
      </w:pPr>
      <w:r w:rsidRPr="001C33D2">
        <w:rPr>
          <w:b/>
          <w:bCs/>
          <w:spacing w:val="0"/>
          <w:kern w:val="0"/>
          <w:sz w:val="24"/>
        </w:rPr>
        <w:t xml:space="preserve">ID postępowania: </w:t>
      </w:r>
      <w:r w:rsidR="008A64F7" w:rsidRPr="008A64F7">
        <w:rPr>
          <w:b/>
          <w:bCs/>
          <w:spacing w:val="0"/>
          <w:kern w:val="0"/>
          <w:sz w:val="24"/>
        </w:rPr>
        <w:t>462a9e6a-cb89-493e-a2be-b1b8614699ba</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49E6D28C"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6418E8">
        <w:rPr>
          <w:b/>
          <w:spacing w:val="0"/>
          <w:kern w:val="0"/>
          <w:sz w:val="24"/>
        </w:rPr>
        <w:t>Tomasz Krysztoforski</w:t>
      </w:r>
      <w:r w:rsidR="00752B7C">
        <w:rPr>
          <w:b/>
          <w:spacing w:val="0"/>
          <w:kern w:val="0"/>
          <w:sz w:val="24"/>
        </w:rPr>
        <w:t>.</w:t>
      </w:r>
    </w:p>
    <w:p w14:paraId="16830C29" w14:textId="1FFAF571"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r w:rsidR="00ED0192">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1859F132"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C706F5">
        <w:rPr>
          <w:b/>
          <w:spacing w:val="0"/>
          <w:kern w:val="0"/>
          <w:sz w:val="24"/>
          <w:u w:val="single"/>
        </w:rPr>
        <w:t>2</w:t>
      </w:r>
      <w:r w:rsidR="008E7E53">
        <w:rPr>
          <w:b/>
          <w:spacing w:val="0"/>
          <w:kern w:val="0"/>
          <w:sz w:val="24"/>
          <w:u w:val="single"/>
        </w:rPr>
        <w:t>8</w:t>
      </w:r>
      <w:r w:rsidR="006605DF">
        <w:rPr>
          <w:b/>
          <w:spacing w:val="0"/>
          <w:kern w:val="0"/>
          <w:sz w:val="24"/>
          <w:u w:val="single"/>
        </w:rPr>
        <w:t xml:space="preserve"> </w:t>
      </w:r>
      <w:r w:rsidR="00DF58B8">
        <w:rPr>
          <w:b/>
          <w:spacing w:val="0"/>
          <w:kern w:val="0"/>
          <w:sz w:val="24"/>
          <w:u w:val="single"/>
        </w:rPr>
        <w:t>października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lastRenderedPageBreak/>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Ofertowym.</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4C170670" w:rsidR="007B2BA2" w:rsidRPr="0072256E" w:rsidRDefault="007B2BA2" w:rsidP="007B2BA2">
      <w:pPr>
        <w:pStyle w:val="Akapitzlist"/>
        <w:numPr>
          <w:ilvl w:val="1"/>
          <w:numId w:val="8"/>
        </w:numPr>
        <w:spacing w:after="0" w:line="240" w:lineRule="auto"/>
        <w:contextualSpacing w:val="0"/>
        <w:jc w:val="both"/>
        <w:rPr>
          <w:b/>
          <w:spacing w:val="0"/>
          <w:kern w:val="0"/>
          <w:sz w:val="24"/>
        </w:rPr>
      </w:pPr>
      <w:bookmarkStart w:id="2" w:name="_Hlk80263464"/>
      <w:r w:rsidRPr="00C327CD">
        <w:rPr>
          <w:b/>
          <w:bCs/>
          <w:spacing w:val="0"/>
          <w:kern w:val="0"/>
          <w:sz w:val="24"/>
        </w:rPr>
        <w:t>Oświadczenie</w:t>
      </w:r>
      <w:bookmarkEnd w:id="2"/>
      <w:r w:rsidRPr="00C327CD">
        <w:rPr>
          <w:b/>
          <w:bCs/>
          <w:spacing w:val="0"/>
          <w:kern w:val="0"/>
          <w:sz w:val="24"/>
        </w:rPr>
        <w:t xml:space="preserve"> Wykonawcy o niepodleganiu wykluczeniu z postępowania</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B921A9">
        <w:rPr>
          <w:bCs/>
          <w:spacing w:val="0"/>
          <w:kern w:val="0"/>
          <w:sz w:val="24"/>
        </w:rPr>
        <w:t>W przypadku wspólnego ubiegania się o zamówienie przez Wykonawców, oświadczenie składa każdy z Wykonawców</w:t>
      </w:r>
      <w:r w:rsidR="00B921A9" w:rsidRPr="00B921A9">
        <w:rPr>
          <w:bCs/>
          <w:spacing w:val="0"/>
          <w:kern w:val="0"/>
          <w:sz w:val="24"/>
        </w:rPr>
        <w:t>;</w:t>
      </w:r>
    </w:p>
    <w:p w14:paraId="321EA1EB" w14:textId="20E58CCF" w:rsidR="0072256E" w:rsidRPr="007B2BA2" w:rsidRDefault="0072256E" w:rsidP="007B2BA2">
      <w:pPr>
        <w:pStyle w:val="Akapitzlist"/>
        <w:numPr>
          <w:ilvl w:val="1"/>
          <w:numId w:val="8"/>
        </w:numPr>
        <w:spacing w:after="0" w:line="240" w:lineRule="auto"/>
        <w:contextualSpacing w:val="0"/>
        <w:jc w:val="both"/>
        <w:rPr>
          <w:b/>
          <w:spacing w:val="0"/>
          <w:kern w:val="0"/>
          <w:sz w:val="24"/>
        </w:rPr>
      </w:pPr>
      <w:r w:rsidRPr="0072256E">
        <w:rPr>
          <w:b/>
          <w:bCs/>
          <w:spacing w:val="0"/>
          <w:kern w:val="0"/>
          <w:sz w:val="24"/>
        </w:rPr>
        <w:t>Oświadczenie w trybie art. 117 ust. 4 ustawy pzp</w:t>
      </w:r>
      <w:r>
        <w:rPr>
          <w:spacing w:val="0"/>
          <w:kern w:val="0"/>
          <w:sz w:val="24"/>
        </w:rPr>
        <w:t xml:space="preserve"> w związku z art. 117 ust. 2 i 3 pzp – wyłącznie w sytuacji podmiotów występujących wspólnie – zaznaczyć i wypełnić  w treści formularza oferty (jeżeli dotyczy).</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lastRenderedPageBreak/>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5461FD90"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4097E">
        <w:rPr>
          <w:spacing w:val="0"/>
          <w:kern w:val="0"/>
          <w:sz w:val="24"/>
        </w:rPr>
        <w:t xml:space="preserve">do dnia </w:t>
      </w:r>
      <w:r w:rsidR="005E5069">
        <w:rPr>
          <w:b/>
          <w:spacing w:val="0"/>
          <w:kern w:val="0"/>
          <w:sz w:val="24"/>
          <w:u w:val="single"/>
        </w:rPr>
        <w:t>29</w:t>
      </w:r>
      <w:r w:rsidR="006605DF">
        <w:rPr>
          <w:b/>
          <w:spacing w:val="0"/>
          <w:kern w:val="0"/>
          <w:sz w:val="24"/>
          <w:u w:val="single"/>
        </w:rPr>
        <w:t xml:space="preserve"> września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530ACD9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5E5069">
        <w:rPr>
          <w:b/>
          <w:spacing w:val="0"/>
          <w:kern w:val="0"/>
          <w:sz w:val="24"/>
          <w:u w:val="single"/>
        </w:rPr>
        <w:t>29</w:t>
      </w:r>
      <w:r w:rsidR="006605DF">
        <w:rPr>
          <w:b/>
          <w:spacing w:val="0"/>
          <w:kern w:val="0"/>
          <w:sz w:val="24"/>
          <w:u w:val="single"/>
        </w:rPr>
        <w:t xml:space="preserve"> września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6605DF">
        <w:rPr>
          <w:b/>
          <w:spacing w:val="0"/>
          <w:kern w:val="0"/>
          <w:sz w:val="24"/>
          <w:u w:val="single"/>
        </w:rPr>
        <w:t>10:15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niezwłocznie po otwarciu ofert, udostępniana 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lastRenderedPageBreak/>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t>SPO</w:t>
      </w:r>
      <w:r w:rsidR="00C35CAA">
        <w:rPr>
          <w:b/>
          <w:spacing w:val="0"/>
          <w:kern w:val="0"/>
          <w:sz w:val="24"/>
        </w:rPr>
        <w:t>SÓB OBLICZENIA CENY</w:t>
      </w:r>
    </w:p>
    <w:p w14:paraId="2CF5025D" w14:textId="54269029"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 xml:space="preserve">kwoty podatku </w:t>
      </w:r>
      <w:r w:rsidRPr="00C35CAA">
        <w:rPr>
          <w:spacing w:val="0"/>
          <w:kern w:val="0"/>
          <w:sz w:val="24"/>
        </w:rPr>
        <w:lastRenderedPageBreak/>
        <w:t>od towarów i usług (VAT)] z wyszczególnieniem stawki podatku od</w:t>
      </w:r>
      <w:r>
        <w:rPr>
          <w:spacing w:val="0"/>
          <w:kern w:val="0"/>
          <w:sz w:val="24"/>
        </w:rPr>
        <w:t xml:space="preserve"> towarów i usług (VAT).</w:t>
      </w:r>
      <w:r w:rsidR="00302291">
        <w:rPr>
          <w:spacing w:val="0"/>
          <w:kern w:val="0"/>
          <w:sz w:val="24"/>
        </w:rPr>
        <w:t xml:space="preserve"> </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7FF0EF72"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20</w:t>
      </w:r>
      <w:r w:rsidRPr="00BD4412">
        <w:rPr>
          <w:sz w:val="24"/>
        </w:rPr>
        <w:t xml:space="preserve"> r. poz. </w:t>
      </w:r>
      <w:r w:rsidR="00B759AF">
        <w:rPr>
          <w:sz w:val="24"/>
        </w:rPr>
        <w:t>106</w:t>
      </w:r>
      <w:r w:rsidRPr="00BD4412">
        <w:rPr>
          <w:sz w:val="24"/>
        </w:rPr>
        <w:t>, z późn. 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322AD5AA"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w:t>
      </w:r>
      <w:r w:rsidR="0093484C">
        <w:rPr>
          <w:rFonts w:eastAsiaTheme="minorHAnsi"/>
          <w:b/>
          <w:color w:val="000000"/>
          <w:spacing w:val="0"/>
          <w:kern w:val="0"/>
          <w:sz w:val="24"/>
          <w:lang w:eastAsia="en-US"/>
        </w:rPr>
        <w:t>Okres gwarancji i rękojmi</w:t>
      </w:r>
      <w:r w:rsidRPr="00417699">
        <w:rPr>
          <w:rFonts w:eastAsiaTheme="minorHAnsi"/>
          <w:b/>
          <w:color w:val="000000"/>
          <w:spacing w:val="0"/>
          <w:kern w:val="0"/>
          <w:sz w:val="24"/>
          <w:lang w:eastAsia="en-US"/>
        </w:rPr>
        <w:t xml:space="preserve">” – </w:t>
      </w:r>
      <w:r w:rsidR="005E5069">
        <w:rPr>
          <w:rFonts w:eastAsiaTheme="minorHAnsi"/>
          <w:b/>
          <w:color w:val="000000"/>
          <w:spacing w:val="0"/>
          <w:kern w:val="0"/>
          <w:sz w:val="24"/>
          <w:lang w:eastAsia="en-US"/>
        </w:rPr>
        <w:t>G</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15C5A8F2" w:rsidR="00191DE4" w:rsidRPr="007F6C1D" w:rsidRDefault="005E5069"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lastRenderedPageBreak/>
              <w:t xml:space="preserve">Okres gwarancji i </w:t>
            </w:r>
            <w:r w:rsidR="0093484C">
              <w:rPr>
                <w:rFonts w:ascii="Times New Roman" w:hAnsi="Times New Roman" w:cs="Times New Roman"/>
                <w:b/>
                <w:lang w:eastAsia="en-US"/>
              </w:rPr>
              <w:t>rękojmi</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26DFF121"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E5069">
              <w:rPr>
                <w:rFonts w:ascii="Times New Roman" w:hAnsi="Times New Roman" w:cs="Times New Roman"/>
                <w:b/>
                <w:lang w:eastAsia="en-US"/>
              </w:rPr>
              <w:t>5 lat</w:t>
            </w:r>
            <w:r w:rsidRPr="003812D0">
              <w:rPr>
                <w:rFonts w:ascii="Times New Roman" w:hAnsi="Times New Roman" w:cs="Times New Roman"/>
                <w:b/>
                <w:lang w:eastAsia="en-US"/>
              </w:rPr>
              <w:t xml:space="preserve"> – 0 pkt</w:t>
            </w:r>
          </w:p>
          <w:p w14:paraId="1635CFEB" w14:textId="1ECEF56E"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5E5069">
              <w:rPr>
                <w:rFonts w:ascii="Times New Roman" w:hAnsi="Times New Roman" w:cs="Times New Roman"/>
                <w:b/>
                <w:lang w:eastAsia="en-US"/>
              </w:rPr>
              <w:t>6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0B30BA26"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lastRenderedPageBreak/>
              <w:t xml:space="preserve">- </w:t>
            </w:r>
            <w:r w:rsidR="005E5069">
              <w:rPr>
                <w:rFonts w:ascii="Times New Roman" w:hAnsi="Times New Roman" w:cs="Times New Roman"/>
                <w:b/>
                <w:lang w:eastAsia="en-US"/>
              </w:rPr>
              <w:t>7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361302EA"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5E5069">
        <w:rPr>
          <w:rFonts w:eastAsiaTheme="minorHAnsi"/>
          <w:b/>
          <w:bCs/>
          <w:color w:val="000000"/>
          <w:spacing w:val="0"/>
          <w:kern w:val="0"/>
          <w:sz w:val="24"/>
          <w:lang w:eastAsia="en-US"/>
        </w:rPr>
        <w:t>G</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4B9F9181" w:rsidR="00191DE4" w:rsidRPr="007F6C1D" w:rsidRDefault="00302291"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sidR="005E5069">
        <w:rPr>
          <w:rFonts w:eastAsiaTheme="minorHAnsi"/>
          <w:color w:val="000000"/>
          <w:spacing w:val="0"/>
          <w:kern w:val="0"/>
          <w:sz w:val="24"/>
          <w:lang w:eastAsia="en-US"/>
        </w:rPr>
        <w:t>Okres gwarancji i rękojmi</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2445B329"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5E5069">
        <w:rPr>
          <w:rFonts w:eastAsiaTheme="minorHAnsi"/>
          <w:color w:val="000000"/>
          <w:spacing w:val="0"/>
          <w:kern w:val="0"/>
          <w:sz w:val="24"/>
          <w:lang w:eastAsia="en-US"/>
        </w:rPr>
        <w:t>Okres gwarancji i rękojmi</w:t>
      </w:r>
      <w:r w:rsidRPr="00F678F8">
        <w:rPr>
          <w:rFonts w:eastAsiaTheme="minorHAnsi"/>
          <w:color w:val="000000"/>
          <w:spacing w:val="0"/>
          <w:kern w:val="0"/>
          <w:sz w:val="24"/>
          <w:lang w:eastAsia="en-US"/>
        </w:rPr>
        <w:t xml:space="preserve">” dokonana zostanie według zasad opisanych w tabeli powyżej na podstawie </w:t>
      </w:r>
      <w:r w:rsidR="005E5069">
        <w:rPr>
          <w:rFonts w:eastAsiaTheme="minorHAnsi"/>
          <w:color w:val="000000"/>
          <w:spacing w:val="0"/>
          <w:kern w:val="0"/>
          <w:sz w:val="24"/>
          <w:lang w:eastAsia="en-US"/>
        </w:rPr>
        <w:t xml:space="preserve">okresu gwarancji i </w:t>
      </w:r>
      <w:r w:rsidR="0093484C">
        <w:rPr>
          <w:rFonts w:eastAsiaTheme="minorHAnsi"/>
          <w:color w:val="000000"/>
          <w:spacing w:val="0"/>
          <w:kern w:val="0"/>
          <w:sz w:val="24"/>
          <w:lang w:eastAsia="en-US"/>
        </w:rPr>
        <w:t>rękojmi</w:t>
      </w:r>
      <w:r w:rsidRPr="00F678F8">
        <w:rPr>
          <w:rFonts w:eastAsiaTheme="minorHAnsi"/>
          <w:color w:val="000000"/>
          <w:spacing w:val="0"/>
          <w:kern w:val="0"/>
          <w:sz w:val="24"/>
          <w:lang w:eastAsia="en-US"/>
        </w:rPr>
        <w:t xml:space="preserve"> wskazanego przez Wykonawcę w formularzu oferty (</w:t>
      </w:r>
      <w:r w:rsidR="00530BB8">
        <w:rPr>
          <w:rFonts w:eastAsiaTheme="minorHAnsi"/>
          <w:color w:val="000000"/>
          <w:spacing w:val="0"/>
          <w:kern w:val="0"/>
          <w:sz w:val="24"/>
          <w:lang w:eastAsia="en-US"/>
        </w:rPr>
        <w:t xml:space="preserve">to jest </w:t>
      </w:r>
      <w:r w:rsidR="005E5069">
        <w:rPr>
          <w:rFonts w:eastAsiaTheme="minorHAnsi"/>
          <w:color w:val="000000"/>
          <w:spacing w:val="0"/>
          <w:kern w:val="0"/>
          <w:sz w:val="24"/>
          <w:lang w:eastAsia="en-US"/>
        </w:rPr>
        <w:t>7 lat</w:t>
      </w:r>
      <w:r w:rsidR="00302291">
        <w:rPr>
          <w:rFonts w:eastAsiaTheme="minorHAnsi"/>
          <w:color w:val="000000"/>
          <w:spacing w:val="0"/>
          <w:kern w:val="0"/>
          <w:sz w:val="24"/>
          <w:lang w:eastAsia="en-US"/>
        </w:rPr>
        <w:t xml:space="preserve">, lub </w:t>
      </w:r>
      <w:r w:rsidR="005E5069">
        <w:rPr>
          <w:rFonts w:eastAsiaTheme="minorHAnsi"/>
          <w:color w:val="000000"/>
          <w:spacing w:val="0"/>
          <w:kern w:val="0"/>
          <w:sz w:val="24"/>
          <w:lang w:eastAsia="en-US"/>
        </w:rPr>
        <w:t>6</w:t>
      </w:r>
      <w:r w:rsidR="00302291">
        <w:rPr>
          <w:rFonts w:eastAsiaTheme="minorHAnsi"/>
          <w:color w:val="000000"/>
          <w:spacing w:val="0"/>
          <w:kern w:val="0"/>
          <w:sz w:val="24"/>
          <w:lang w:eastAsia="en-US"/>
        </w:rPr>
        <w:t xml:space="preserve"> </w:t>
      </w:r>
      <w:r w:rsidR="005E5069">
        <w:rPr>
          <w:rFonts w:eastAsiaTheme="minorHAnsi"/>
          <w:color w:val="000000"/>
          <w:spacing w:val="0"/>
          <w:kern w:val="0"/>
          <w:sz w:val="24"/>
          <w:lang w:eastAsia="en-US"/>
        </w:rPr>
        <w:t>lat</w:t>
      </w:r>
      <w:r w:rsidR="00302291">
        <w:rPr>
          <w:rFonts w:eastAsiaTheme="minorHAnsi"/>
          <w:color w:val="000000"/>
          <w:spacing w:val="0"/>
          <w:kern w:val="0"/>
          <w:sz w:val="24"/>
          <w:lang w:eastAsia="en-US"/>
        </w:rPr>
        <w:t xml:space="preserve"> lub </w:t>
      </w:r>
      <w:r w:rsidR="005E5069">
        <w:rPr>
          <w:rFonts w:eastAsiaTheme="minorHAnsi"/>
          <w:color w:val="000000"/>
          <w:spacing w:val="0"/>
          <w:kern w:val="0"/>
          <w:sz w:val="24"/>
          <w:lang w:eastAsia="en-US"/>
        </w:rPr>
        <w:t>5</w:t>
      </w:r>
      <w:r w:rsidR="00302291">
        <w:rPr>
          <w:rFonts w:eastAsiaTheme="minorHAnsi"/>
          <w:color w:val="000000"/>
          <w:spacing w:val="0"/>
          <w:kern w:val="0"/>
          <w:sz w:val="24"/>
          <w:lang w:eastAsia="en-US"/>
        </w:rPr>
        <w:t xml:space="preserve"> </w:t>
      </w:r>
      <w:r w:rsidR="005E5069">
        <w:rPr>
          <w:rFonts w:eastAsiaTheme="minorHAnsi"/>
          <w:color w:val="000000"/>
          <w:spacing w:val="0"/>
          <w:kern w:val="0"/>
          <w:sz w:val="24"/>
          <w:lang w:eastAsia="en-US"/>
        </w:rPr>
        <w:t>lat</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143A3AA8" w14:textId="77777777" w:rsidR="00302291" w:rsidRPr="00302291" w:rsidRDefault="00302291" w:rsidP="00302291">
      <w:pPr>
        <w:pStyle w:val="Akapitzlist"/>
        <w:numPr>
          <w:ilvl w:val="0"/>
          <w:numId w:val="14"/>
        </w:numPr>
        <w:spacing w:after="0" w:line="240" w:lineRule="auto"/>
        <w:ind w:left="357" w:hanging="357"/>
        <w:contextualSpacing w:val="0"/>
        <w:jc w:val="both"/>
        <w:rPr>
          <w:b/>
          <w:bCs/>
          <w:kern w:val="1"/>
          <w:sz w:val="24"/>
          <w:lang w:eastAsia="ar-SA"/>
        </w:rPr>
      </w:pPr>
      <w:r w:rsidRPr="00302291">
        <w:rPr>
          <w:color w:val="000000" w:themeColor="text1"/>
          <w:spacing w:val="0"/>
          <w:kern w:val="0"/>
          <w:sz w:val="24"/>
          <w:lang w:eastAsia="ar-SA"/>
        </w:rPr>
        <w:t xml:space="preserve">Najpóźniej na 2 dni przed podpisaniem umowy Wykonawca dostarczy Zamawiającemu kosztorys ofertowy, harmonogram rzeczowo-finansowy oraz dane </w:t>
      </w:r>
      <w:r w:rsidRPr="005E5069">
        <w:rPr>
          <w:b/>
          <w:bCs/>
          <w:color w:val="000000" w:themeColor="text1"/>
          <w:spacing w:val="0"/>
          <w:kern w:val="0"/>
          <w:sz w:val="24"/>
          <w:lang w:eastAsia="ar-SA"/>
        </w:rPr>
        <w:t xml:space="preserve">kierownika robót w specjalności inżynieryjnej drogowej/ kierownika budowy, oraz dane kierownika  </w:t>
      </w:r>
      <w:r w:rsidRPr="005E5069">
        <w:rPr>
          <w:b/>
          <w:bCs/>
          <w:color w:val="000000" w:themeColor="text1"/>
          <w:spacing w:val="0"/>
          <w:kern w:val="0"/>
          <w:sz w:val="24"/>
          <w:lang w:eastAsia="ar-SA"/>
        </w:rPr>
        <w:lastRenderedPageBreak/>
        <w:t>robót posiadającego stosowne uprawnienia do kierowania robotami</w:t>
      </w:r>
      <w:r>
        <w:rPr>
          <w:color w:val="000000" w:themeColor="text1"/>
          <w:spacing w:val="0"/>
          <w:kern w:val="0"/>
          <w:sz w:val="24"/>
          <w:lang w:eastAsia="ar-SA"/>
        </w:rPr>
        <w:t xml:space="preserve"> </w:t>
      </w:r>
      <w:r w:rsidRPr="00302291">
        <w:rPr>
          <w:b/>
          <w:bCs/>
          <w:kern w:val="1"/>
          <w:sz w:val="24"/>
          <w:lang w:eastAsia="ar-SA"/>
        </w:rPr>
        <w:t>w specjalności instalacyjnej w zakresie sieci, instalacji i urządzeń cieplnych, wentylacyjnych, gazowych, wodociągowych i kanalizacyjnych</w:t>
      </w:r>
      <w:r>
        <w:rPr>
          <w:b/>
          <w:bCs/>
          <w:kern w:val="1"/>
          <w:sz w:val="24"/>
          <w:lang w:eastAsia="ar-SA"/>
        </w:rPr>
        <w:t xml:space="preserve">. </w:t>
      </w:r>
      <w:r w:rsidRPr="00302291">
        <w:rPr>
          <w:color w:val="000000" w:themeColor="text1"/>
          <w:spacing w:val="0"/>
          <w:kern w:val="0"/>
          <w:sz w:val="24"/>
          <w:lang w:eastAsia="ar-SA"/>
        </w:rPr>
        <w:t>Dokumenty ten stanowić będą załączniki do umowy.</w:t>
      </w:r>
    </w:p>
    <w:p w14:paraId="447E1D0D" w14:textId="77626143" w:rsidR="0038482B" w:rsidRPr="00302291" w:rsidRDefault="0038482B" w:rsidP="00302291">
      <w:pPr>
        <w:pStyle w:val="Akapitzlist"/>
        <w:numPr>
          <w:ilvl w:val="0"/>
          <w:numId w:val="14"/>
        </w:numPr>
        <w:spacing w:after="240" w:line="240" w:lineRule="auto"/>
        <w:ind w:left="357" w:hanging="357"/>
        <w:contextualSpacing w:val="0"/>
        <w:jc w:val="both"/>
        <w:rPr>
          <w:b/>
          <w:bCs/>
          <w:kern w:val="1"/>
          <w:sz w:val="24"/>
          <w:lang w:eastAsia="ar-SA"/>
        </w:rPr>
      </w:pPr>
      <w:r w:rsidRPr="00302291">
        <w:rPr>
          <w:spacing w:val="0"/>
          <w:kern w:val="0"/>
          <w:sz w:val="24"/>
        </w:rPr>
        <w:t>Jeżeli Wykonawca, którego oferta została wybrana jako najkorzystniejsza, uchyla się̨ od zawarcia umowy w sprawie zamówienia publicznego Zamawiający może dokonać ponownego badania i oceny ofert spośród ofert pozostałych w postepow</w:t>
      </w:r>
      <w:r w:rsidR="006554B1" w:rsidRPr="00302291">
        <w:rPr>
          <w:spacing w:val="0"/>
          <w:kern w:val="0"/>
          <w:sz w:val="24"/>
        </w:rPr>
        <w:t>aniu Wykonawców albo unieważnić</w:t>
      </w:r>
      <w:r w:rsidRPr="00302291">
        <w:rPr>
          <w:spacing w:val="0"/>
          <w:kern w:val="0"/>
          <w:sz w:val="24"/>
        </w:rPr>
        <w:t xml:space="preserve"> postepowanie.</w:t>
      </w:r>
    </w:p>
    <w:p w14:paraId="2E8805C5" w14:textId="49523D07" w:rsidR="000258D3" w:rsidRPr="000735D2" w:rsidRDefault="000258D3"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4FDBD95C"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0735D2">
        <w:rPr>
          <w:b/>
          <w:color w:val="000000" w:themeColor="text1"/>
          <w:spacing w:val="0"/>
          <w:kern w:val="0"/>
          <w:sz w:val="24"/>
          <w:lang w:eastAsia="ar-SA"/>
        </w:rPr>
        <w:t xml:space="preserve">5 % </w:t>
      </w:r>
      <w:r w:rsidRPr="000735D2">
        <w:rPr>
          <w:color w:val="000000" w:themeColor="text1"/>
          <w:spacing w:val="0"/>
          <w:kern w:val="0"/>
          <w:sz w:val="24"/>
          <w:lang w:eastAsia="ar-SA"/>
        </w:rPr>
        <w:t xml:space="preserve">całkowitej ceny brutto podanej w ofercie. </w:t>
      </w:r>
    </w:p>
    <w:p w14:paraId="402E88F8" w14:textId="77777777" w:rsidR="000735D2" w:rsidRPr="000735D2" w:rsidRDefault="000735D2" w:rsidP="00B074B7">
      <w:pPr>
        <w:numPr>
          <w:ilvl w:val="0"/>
          <w:numId w:val="3"/>
        </w:numPr>
        <w:tabs>
          <w:tab w:val="center" w:pos="4536"/>
          <w:tab w:val="right" w:pos="9072"/>
        </w:tabs>
        <w:suppressAutoHyphens/>
        <w:spacing w:after="120" w:line="240" w:lineRule="auto"/>
        <w:ind w:left="357" w:hanging="357"/>
        <w:contextualSpacing/>
        <w:jc w:val="both"/>
        <w:rPr>
          <w:bCs/>
          <w:color w:val="000000" w:themeColor="text1"/>
          <w:spacing w:val="0"/>
          <w:kern w:val="0"/>
          <w:sz w:val="24"/>
          <w:lang w:eastAsia="ar-SA"/>
        </w:rPr>
      </w:pPr>
      <w:r w:rsidRPr="000735D2">
        <w:rPr>
          <w:color w:val="000000" w:themeColor="text1"/>
          <w:spacing w:val="0"/>
          <w:kern w:val="0"/>
          <w:sz w:val="24"/>
          <w:lang w:eastAsia="ar-SA"/>
        </w:rPr>
        <w:t xml:space="preserve">Zabezpieczenie może być wnoszone według wyboru wykonawcy w jednej lub w kilku następujących formach: </w:t>
      </w:r>
    </w:p>
    <w:p w14:paraId="5449772C"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pieniądzu;</w:t>
      </w:r>
    </w:p>
    <w:p w14:paraId="216DAE19" w14:textId="763DCFB8"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bankowych lub poręczeniach spółdzielczej kasy oszczędnościowo-kredytowej, z tym że zobowiązanie kasy jest zawsze zobowiązaniem pieniężnym;</w:t>
      </w:r>
    </w:p>
    <w:p w14:paraId="07BCCA21"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bankowych;</w:t>
      </w:r>
    </w:p>
    <w:p w14:paraId="70A30DAE"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gwarancjach ubezpieczeniowych;</w:t>
      </w:r>
    </w:p>
    <w:p w14:paraId="3A50C72B" w14:textId="77777777" w:rsidR="000735D2" w:rsidRPr="000735D2" w:rsidRDefault="000735D2" w:rsidP="00B074B7">
      <w:pPr>
        <w:numPr>
          <w:ilvl w:val="0"/>
          <w:numId w:val="4"/>
        </w:numPr>
        <w:tabs>
          <w:tab w:val="center" w:pos="4536"/>
          <w:tab w:val="right" w:pos="9072"/>
        </w:tabs>
        <w:suppressAutoHyphens/>
        <w:spacing w:after="0" w:line="240" w:lineRule="auto"/>
        <w:contextualSpacing/>
        <w:jc w:val="both"/>
        <w:rPr>
          <w:bCs/>
          <w:color w:val="000000" w:themeColor="text1"/>
          <w:spacing w:val="0"/>
          <w:kern w:val="0"/>
          <w:sz w:val="24"/>
          <w:lang w:eastAsia="ar-SA"/>
        </w:rPr>
      </w:pPr>
      <w:r w:rsidRPr="000735D2">
        <w:rPr>
          <w:color w:val="000000" w:themeColor="text1"/>
          <w:spacing w:val="0"/>
          <w:kern w:val="0"/>
          <w:sz w:val="24"/>
          <w:lang w:eastAsia="ar-SA"/>
        </w:rPr>
        <w:t>poręczeniach udzielanych przez podmioty, o których mowa w art. 6b ust. 5 pkt 2 ustawy z dnia 9 listopada 2000 r. o utworzeniu Polskiej Agencji Rozwoju Przedsiębiorczości.</w:t>
      </w:r>
    </w:p>
    <w:p w14:paraId="592A5950" w14:textId="67705739" w:rsidR="00143F2E" w:rsidRPr="00143F2E" w:rsidRDefault="009D2F21" w:rsidP="00143F2E">
      <w:pPr>
        <w:numPr>
          <w:ilvl w:val="0"/>
          <w:numId w:val="3"/>
        </w:numPr>
        <w:autoSpaceDE w:val="0"/>
        <w:autoSpaceDN w:val="0"/>
        <w:adjustRightInd w:val="0"/>
        <w:spacing w:after="0" w:line="240" w:lineRule="auto"/>
        <w:ind w:left="357" w:hanging="357"/>
        <w:jc w:val="both"/>
        <w:rPr>
          <w:b/>
          <w:bCs/>
          <w:i/>
          <w:iCs/>
          <w:kern w:val="0"/>
          <w:sz w:val="24"/>
          <w:lang w:eastAsia="en-US"/>
        </w:rPr>
      </w:pPr>
      <w:r w:rsidRPr="00143F2E">
        <w:rPr>
          <w:sz w:val="24"/>
          <w:lang w:eastAsia="ar-SA"/>
        </w:rPr>
        <w:t xml:space="preserve">Zabezpieczenie wnoszone w pieniądzu wykonawca wpłaca przelewem na rachunek bankowy zamawiającego nr </w:t>
      </w:r>
      <w:r w:rsidRPr="00143F2E">
        <w:rPr>
          <w:b/>
          <w:sz w:val="24"/>
          <w:lang w:eastAsia="ar-SA"/>
        </w:rPr>
        <w:t xml:space="preserve">66 1560 0013 2007 8730 2000 0006 z dopiskiem „zabezpieczenie należytego wykonania umowy - na zadanie pn.: </w:t>
      </w:r>
      <w:r w:rsidR="00143F2E" w:rsidRPr="00143F2E">
        <w:rPr>
          <w:b/>
          <w:sz w:val="24"/>
        </w:rPr>
        <w:t>„Przebudowa drogi powiatowej nr 2907C Mostki - Kowal od km 2+762 do km 3+743 – chodnik, długość odc. 981 mb”</w:t>
      </w:r>
      <w:r w:rsidR="00143F2E">
        <w:rPr>
          <w:b/>
          <w:bCs/>
          <w:i/>
          <w:iCs/>
          <w:kern w:val="0"/>
          <w:sz w:val="24"/>
          <w:lang w:eastAsia="en-US"/>
        </w:rPr>
        <w:t>.</w:t>
      </w:r>
    </w:p>
    <w:p w14:paraId="01C24A41"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nie wyraża zgody na tworzenie zabezpieczenia przez potrącenia z należności za częściowo wykonany przedmiot zamówienia. </w:t>
      </w:r>
    </w:p>
    <w:p w14:paraId="55AAE92D" w14:textId="77777777" w:rsidR="000735D2" w:rsidRDefault="000735D2" w:rsidP="00B074B7">
      <w:pPr>
        <w:numPr>
          <w:ilvl w:val="0"/>
          <w:numId w:val="3"/>
        </w:numPr>
        <w:autoSpaceDE w:val="0"/>
        <w:autoSpaceDN w:val="0"/>
        <w:adjustRightInd w:val="0"/>
        <w:spacing w:after="0" w:line="240" w:lineRule="auto"/>
        <w:ind w:left="357" w:hanging="357"/>
        <w:jc w:val="both"/>
        <w:rPr>
          <w:b/>
          <w:bCs/>
          <w:iCs/>
          <w:color w:val="000000" w:themeColor="text1"/>
          <w:kern w:val="0"/>
          <w:sz w:val="24"/>
          <w:lang w:eastAsia="en-US"/>
        </w:rPr>
      </w:pPr>
      <w:r w:rsidRPr="000735D2">
        <w:rPr>
          <w:color w:val="000000" w:themeColor="text1"/>
          <w:spacing w:val="0"/>
          <w:kern w:val="0"/>
          <w:sz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2A06E49A" w14:textId="18C05731" w:rsidR="000735D2" w:rsidRPr="000735D2" w:rsidRDefault="000735D2" w:rsidP="00B074B7">
      <w:pPr>
        <w:numPr>
          <w:ilvl w:val="0"/>
          <w:numId w:val="3"/>
        </w:numPr>
        <w:autoSpaceDE w:val="0"/>
        <w:autoSpaceDN w:val="0"/>
        <w:adjustRightInd w:val="0"/>
        <w:spacing w:after="120" w:line="240" w:lineRule="auto"/>
        <w:ind w:left="357" w:hanging="357"/>
        <w:jc w:val="both"/>
        <w:rPr>
          <w:b/>
          <w:bCs/>
          <w:iCs/>
          <w:color w:val="000000" w:themeColor="text1"/>
          <w:kern w:val="0"/>
          <w:sz w:val="24"/>
          <w:lang w:eastAsia="en-US"/>
        </w:rPr>
      </w:pPr>
      <w:r w:rsidRPr="000735D2">
        <w:rPr>
          <w:sz w:val="24"/>
          <w:lang w:eastAsia="ar-SA"/>
        </w:rPr>
        <w:t>Wykonawcy składający ofertę wspólnie, na podstawie art. 58 ust. 1 pzp ponoszą solidarną odpowiedzialność za wykonanie umowy i wniesienie zabezpieczenia należytego wykonania umowy.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lastRenderedPageBreak/>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2"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odbiorcami Pani/Pana danych osobowych będą osoby lub podmioty, którym udostępniona zostanie dokumentacja postępowania w oparciu o art. 18 oraz art. 74 ust. 3 ustawy pzp;</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wyniku postępowania o udzielenie zamówienia publicznego ani zmianą postanowień umowy w zakresie niezgodnym z ustawą pzp oraz nie może naruszać integralności protokołu oraz jego załączników;</w:t>
      </w:r>
    </w:p>
    <w:p w14:paraId="6C74F12A"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udzielnei 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lastRenderedPageBreak/>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69FD7642"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66FD301"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Formularz Ofertowy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3CFEB10C"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00B921A9">
        <w:rPr>
          <w:sz w:val="24"/>
        </w:rPr>
        <w:t>z</w:t>
      </w:r>
      <w:r w:rsidRPr="0078046D">
        <w:rPr>
          <w:sz w:val="24"/>
        </w:rPr>
        <w:t xml:space="preserve"> postępowani</w:t>
      </w:r>
      <w:r w:rsidR="00B921A9">
        <w:rPr>
          <w:sz w:val="24"/>
        </w:rPr>
        <w:t>a</w:t>
      </w:r>
      <w:r w:rsidRPr="0078046D">
        <w:rPr>
          <w:spacing w:val="0"/>
          <w:kern w:val="0"/>
          <w:sz w:val="24"/>
          <w:lang w:eastAsia="ar-SA"/>
        </w:rPr>
        <w:t xml:space="preserve"> – Załącznik nr 3;</w:t>
      </w:r>
    </w:p>
    <w:p w14:paraId="7EAEF15B" w14:textId="00AF2DE9" w:rsidR="00684E64" w:rsidRPr="0078046D"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kern w:val="1"/>
          <w:sz w:val="24"/>
        </w:rPr>
        <w:t xml:space="preserve">Dokumentacja projektowa, specyfikacja techniczna wykonania i odbioru robót, przedmiary robót –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6B609F56"/>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0"/>
  </w:num>
  <w:num w:numId="3">
    <w:abstractNumId w:val="38"/>
  </w:num>
  <w:num w:numId="4">
    <w:abstractNumId w:val="24"/>
  </w:num>
  <w:num w:numId="5">
    <w:abstractNumId w:val="6"/>
  </w:num>
  <w:num w:numId="6">
    <w:abstractNumId w:val="17"/>
  </w:num>
  <w:num w:numId="7">
    <w:abstractNumId w:val="42"/>
  </w:num>
  <w:num w:numId="8">
    <w:abstractNumId w:val="11"/>
  </w:num>
  <w:num w:numId="9">
    <w:abstractNumId w:val="27"/>
  </w:num>
  <w:num w:numId="10">
    <w:abstractNumId w:val="35"/>
  </w:num>
  <w:num w:numId="11">
    <w:abstractNumId w:val="43"/>
  </w:num>
  <w:num w:numId="12">
    <w:abstractNumId w:val="34"/>
  </w:num>
  <w:num w:numId="13">
    <w:abstractNumId w:val="16"/>
  </w:num>
  <w:num w:numId="14">
    <w:abstractNumId w:val="41"/>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6"/>
  </w:num>
  <w:num w:numId="22">
    <w:abstractNumId w:val="4"/>
  </w:num>
  <w:num w:numId="23">
    <w:abstractNumId w:val="29"/>
  </w:num>
  <w:num w:numId="24">
    <w:abstractNumId w:val="5"/>
  </w:num>
  <w:num w:numId="25">
    <w:abstractNumId w:val="15"/>
  </w:num>
  <w:num w:numId="26">
    <w:abstractNumId w:val="9"/>
  </w:num>
  <w:num w:numId="27">
    <w:abstractNumId w:val="37"/>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39"/>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A2685"/>
    <w:rsid w:val="000B1B01"/>
    <w:rsid w:val="000B50A3"/>
    <w:rsid w:val="000C26C4"/>
    <w:rsid w:val="000C4BE6"/>
    <w:rsid w:val="000D038A"/>
    <w:rsid w:val="000D1576"/>
    <w:rsid w:val="000D5953"/>
    <w:rsid w:val="000E0964"/>
    <w:rsid w:val="000F6A94"/>
    <w:rsid w:val="00100465"/>
    <w:rsid w:val="00103225"/>
    <w:rsid w:val="001033B9"/>
    <w:rsid w:val="00110F6A"/>
    <w:rsid w:val="001130D9"/>
    <w:rsid w:val="001354DA"/>
    <w:rsid w:val="00136719"/>
    <w:rsid w:val="0014399F"/>
    <w:rsid w:val="00143F2E"/>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33D2"/>
    <w:rsid w:val="001C5718"/>
    <w:rsid w:val="001C6E31"/>
    <w:rsid w:val="001D1740"/>
    <w:rsid w:val="001D19FB"/>
    <w:rsid w:val="001E00BD"/>
    <w:rsid w:val="001E0F30"/>
    <w:rsid w:val="001E6341"/>
    <w:rsid w:val="001F0859"/>
    <w:rsid w:val="001F482F"/>
    <w:rsid w:val="001F7A97"/>
    <w:rsid w:val="002104D1"/>
    <w:rsid w:val="002144D0"/>
    <w:rsid w:val="002145BC"/>
    <w:rsid w:val="002232BC"/>
    <w:rsid w:val="002329A7"/>
    <w:rsid w:val="00244450"/>
    <w:rsid w:val="002472D4"/>
    <w:rsid w:val="002516A1"/>
    <w:rsid w:val="00255A38"/>
    <w:rsid w:val="002563C7"/>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291"/>
    <w:rsid w:val="00302854"/>
    <w:rsid w:val="00303208"/>
    <w:rsid w:val="0031081B"/>
    <w:rsid w:val="003157D6"/>
    <w:rsid w:val="00316E29"/>
    <w:rsid w:val="003250B7"/>
    <w:rsid w:val="0032769B"/>
    <w:rsid w:val="003365EC"/>
    <w:rsid w:val="00341586"/>
    <w:rsid w:val="003470AE"/>
    <w:rsid w:val="00350663"/>
    <w:rsid w:val="00353A11"/>
    <w:rsid w:val="00356F0D"/>
    <w:rsid w:val="00356FF8"/>
    <w:rsid w:val="00364F6D"/>
    <w:rsid w:val="00374CC0"/>
    <w:rsid w:val="003812D0"/>
    <w:rsid w:val="0038329C"/>
    <w:rsid w:val="0038482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2FAB"/>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46BE"/>
    <w:rsid w:val="004B7159"/>
    <w:rsid w:val="004E1297"/>
    <w:rsid w:val="004E2C7F"/>
    <w:rsid w:val="004E72D4"/>
    <w:rsid w:val="004E7B32"/>
    <w:rsid w:val="004F22F1"/>
    <w:rsid w:val="00511920"/>
    <w:rsid w:val="0051259F"/>
    <w:rsid w:val="005239D7"/>
    <w:rsid w:val="00530BB8"/>
    <w:rsid w:val="00534797"/>
    <w:rsid w:val="00537C1E"/>
    <w:rsid w:val="00540482"/>
    <w:rsid w:val="00544728"/>
    <w:rsid w:val="005503FB"/>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E5069"/>
    <w:rsid w:val="005F33BB"/>
    <w:rsid w:val="00610CDC"/>
    <w:rsid w:val="00620C0C"/>
    <w:rsid w:val="00623DE5"/>
    <w:rsid w:val="00633036"/>
    <w:rsid w:val="00636892"/>
    <w:rsid w:val="006418E8"/>
    <w:rsid w:val="0064548A"/>
    <w:rsid w:val="006475C1"/>
    <w:rsid w:val="0065464A"/>
    <w:rsid w:val="00655421"/>
    <w:rsid w:val="006554B1"/>
    <w:rsid w:val="006605DF"/>
    <w:rsid w:val="00661522"/>
    <w:rsid w:val="006727E3"/>
    <w:rsid w:val="00673BC0"/>
    <w:rsid w:val="006763EB"/>
    <w:rsid w:val="00677F44"/>
    <w:rsid w:val="00683BCD"/>
    <w:rsid w:val="00684E64"/>
    <w:rsid w:val="00693A15"/>
    <w:rsid w:val="006A3A65"/>
    <w:rsid w:val="006A492B"/>
    <w:rsid w:val="006B5CE0"/>
    <w:rsid w:val="006C018C"/>
    <w:rsid w:val="006C4BEF"/>
    <w:rsid w:val="006C5285"/>
    <w:rsid w:val="006D45FC"/>
    <w:rsid w:val="006D6E8C"/>
    <w:rsid w:val="006F7646"/>
    <w:rsid w:val="00707549"/>
    <w:rsid w:val="00710282"/>
    <w:rsid w:val="007140DF"/>
    <w:rsid w:val="00721CD2"/>
    <w:rsid w:val="0072256E"/>
    <w:rsid w:val="00724CDE"/>
    <w:rsid w:val="00725047"/>
    <w:rsid w:val="00725A02"/>
    <w:rsid w:val="00727F63"/>
    <w:rsid w:val="0074097E"/>
    <w:rsid w:val="00752B7C"/>
    <w:rsid w:val="00753818"/>
    <w:rsid w:val="007557B4"/>
    <w:rsid w:val="00764E82"/>
    <w:rsid w:val="0076735D"/>
    <w:rsid w:val="0078046D"/>
    <w:rsid w:val="00791285"/>
    <w:rsid w:val="0079592E"/>
    <w:rsid w:val="007A07D3"/>
    <w:rsid w:val="007B2A05"/>
    <w:rsid w:val="007B2BA2"/>
    <w:rsid w:val="007C17C3"/>
    <w:rsid w:val="007C5482"/>
    <w:rsid w:val="007C5E0E"/>
    <w:rsid w:val="007D4D5B"/>
    <w:rsid w:val="007E499C"/>
    <w:rsid w:val="007E6E26"/>
    <w:rsid w:val="007F1766"/>
    <w:rsid w:val="007F32D7"/>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928"/>
    <w:rsid w:val="00835BE7"/>
    <w:rsid w:val="00842255"/>
    <w:rsid w:val="0084296D"/>
    <w:rsid w:val="008430AA"/>
    <w:rsid w:val="00844D6A"/>
    <w:rsid w:val="00850FDB"/>
    <w:rsid w:val="00852EF8"/>
    <w:rsid w:val="00865B0D"/>
    <w:rsid w:val="008713FF"/>
    <w:rsid w:val="0089154F"/>
    <w:rsid w:val="008917DC"/>
    <w:rsid w:val="00896732"/>
    <w:rsid w:val="008970D2"/>
    <w:rsid w:val="008A2DCE"/>
    <w:rsid w:val="008A64F7"/>
    <w:rsid w:val="008A700D"/>
    <w:rsid w:val="008A7746"/>
    <w:rsid w:val="008B395C"/>
    <w:rsid w:val="008B3DBD"/>
    <w:rsid w:val="008B7293"/>
    <w:rsid w:val="008C7F79"/>
    <w:rsid w:val="008D39C8"/>
    <w:rsid w:val="008D7C8A"/>
    <w:rsid w:val="008D7F77"/>
    <w:rsid w:val="008E3440"/>
    <w:rsid w:val="008E7E53"/>
    <w:rsid w:val="008F0666"/>
    <w:rsid w:val="00917CD0"/>
    <w:rsid w:val="00921639"/>
    <w:rsid w:val="009251B7"/>
    <w:rsid w:val="00932BFA"/>
    <w:rsid w:val="0093484C"/>
    <w:rsid w:val="009361A4"/>
    <w:rsid w:val="00943FFA"/>
    <w:rsid w:val="00947DB5"/>
    <w:rsid w:val="009639AC"/>
    <w:rsid w:val="00977574"/>
    <w:rsid w:val="0098626B"/>
    <w:rsid w:val="009879A6"/>
    <w:rsid w:val="00991410"/>
    <w:rsid w:val="009936B6"/>
    <w:rsid w:val="009A1001"/>
    <w:rsid w:val="009A2963"/>
    <w:rsid w:val="009A4E1E"/>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F0738"/>
    <w:rsid w:val="00AF645E"/>
    <w:rsid w:val="00B02CCC"/>
    <w:rsid w:val="00B04779"/>
    <w:rsid w:val="00B074B7"/>
    <w:rsid w:val="00B10D11"/>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7085"/>
    <w:rsid w:val="00B77FA1"/>
    <w:rsid w:val="00B91755"/>
    <w:rsid w:val="00B921A9"/>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26939"/>
    <w:rsid w:val="00C327CD"/>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06F5"/>
    <w:rsid w:val="00C72853"/>
    <w:rsid w:val="00C75A45"/>
    <w:rsid w:val="00C7718F"/>
    <w:rsid w:val="00C85B66"/>
    <w:rsid w:val="00C85F71"/>
    <w:rsid w:val="00C872B9"/>
    <w:rsid w:val="00C9013F"/>
    <w:rsid w:val="00C9107F"/>
    <w:rsid w:val="00C92A85"/>
    <w:rsid w:val="00CC72BF"/>
    <w:rsid w:val="00CD097A"/>
    <w:rsid w:val="00CD6605"/>
    <w:rsid w:val="00CE240D"/>
    <w:rsid w:val="00CE5373"/>
    <w:rsid w:val="00CF054E"/>
    <w:rsid w:val="00CF454B"/>
    <w:rsid w:val="00D002D6"/>
    <w:rsid w:val="00D00315"/>
    <w:rsid w:val="00D06A45"/>
    <w:rsid w:val="00D10C7C"/>
    <w:rsid w:val="00D16D2C"/>
    <w:rsid w:val="00D30C3B"/>
    <w:rsid w:val="00D30D73"/>
    <w:rsid w:val="00D422BD"/>
    <w:rsid w:val="00D42E91"/>
    <w:rsid w:val="00D44549"/>
    <w:rsid w:val="00D5086C"/>
    <w:rsid w:val="00D80438"/>
    <w:rsid w:val="00D85B07"/>
    <w:rsid w:val="00D87586"/>
    <w:rsid w:val="00D960EA"/>
    <w:rsid w:val="00D977F4"/>
    <w:rsid w:val="00DC41D5"/>
    <w:rsid w:val="00DD31D4"/>
    <w:rsid w:val="00DE44A4"/>
    <w:rsid w:val="00DE4B2D"/>
    <w:rsid w:val="00DF58B8"/>
    <w:rsid w:val="00DF5C7C"/>
    <w:rsid w:val="00E161D4"/>
    <w:rsid w:val="00E21D97"/>
    <w:rsid w:val="00E227E3"/>
    <w:rsid w:val="00E30231"/>
    <w:rsid w:val="00E35822"/>
    <w:rsid w:val="00E40D01"/>
    <w:rsid w:val="00E40FDB"/>
    <w:rsid w:val="00E531B9"/>
    <w:rsid w:val="00E701DC"/>
    <w:rsid w:val="00E737BD"/>
    <w:rsid w:val="00E920F8"/>
    <w:rsid w:val="00EA2DD6"/>
    <w:rsid w:val="00EA38E1"/>
    <w:rsid w:val="00EA5931"/>
    <w:rsid w:val="00EB692E"/>
    <w:rsid w:val="00EC1F5A"/>
    <w:rsid w:val="00EC4D2E"/>
    <w:rsid w:val="00ED0192"/>
    <w:rsid w:val="00ED1A1C"/>
    <w:rsid w:val="00EE763C"/>
    <w:rsid w:val="00EF26A2"/>
    <w:rsid w:val="00EF2C1C"/>
    <w:rsid w:val="00EF4847"/>
    <w:rsid w:val="00EF5255"/>
    <w:rsid w:val="00F04D71"/>
    <w:rsid w:val="00F14861"/>
    <w:rsid w:val="00F16A98"/>
    <w:rsid w:val="00F16D71"/>
    <w:rsid w:val="00F24007"/>
    <w:rsid w:val="00F312D9"/>
    <w:rsid w:val="00F32855"/>
    <w:rsid w:val="00F53257"/>
    <w:rsid w:val="00F57519"/>
    <w:rsid w:val="00F622B1"/>
    <w:rsid w:val="00F678F8"/>
    <w:rsid w:val="00F754B2"/>
    <w:rsid w:val="00F7679D"/>
    <w:rsid w:val="00F94CE2"/>
    <w:rsid w:val="00FA3839"/>
    <w:rsid w:val="00FA6F3C"/>
    <w:rsid w:val="00FA74F0"/>
    <w:rsid w:val="00FB1D8B"/>
    <w:rsid w:val="00FD33BB"/>
    <w:rsid w:val="00FD3D68"/>
    <w:rsid w:val="00FD493D"/>
    <w:rsid w:val="00FD5FB1"/>
    <w:rsid w:val="00FD6336"/>
    <w:rsid w:val="00FD63BE"/>
    <w:rsid w:val="00FE6721"/>
    <w:rsid w:val="00FF3297"/>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2884">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427846166">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51601783">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595623611">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owiat.wloclaws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wloclawski.rbip.mojregion.info/typy-tresci/zamowienia-publi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mailto:zamowieniapubliczne@powiat.wloclaws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13</Pages>
  <Words>5170</Words>
  <Characters>31022</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Zamowienia Publiczne</cp:lastModifiedBy>
  <cp:revision>69</cp:revision>
  <cp:lastPrinted>2021-08-19T09:07:00Z</cp:lastPrinted>
  <dcterms:created xsi:type="dcterms:W3CDTF">2021-03-03T08:22:00Z</dcterms:created>
  <dcterms:modified xsi:type="dcterms:W3CDTF">2021-09-14T14:21:00Z</dcterms:modified>
</cp:coreProperties>
</file>