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B01" w:rsidRDefault="00911B01" w:rsidP="00911B01">
      <w:pPr>
        <w:spacing w:line="276" w:lineRule="auto"/>
        <w:jc w:val="left"/>
        <w:rPr>
          <w:b/>
          <w:caps/>
        </w:rPr>
      </w:pPr>
      <w:r>
        <w:rPr>
          <w:b/>
          <w:caps/>
        </w:rPr>
        <w:t>ZAB.0007.59.2022</w:t>
      </w:r>
    </w:p>
    <w:p w:rsidR="00911B01" w:rsidRDefault="00911B01">
      <w:pPr>
        <w:spacing w:line="276" w:lineRule="auto"/>
        <w:jc w:val="center"/>
        <w:rPr>
          <w:b/>
          <w:caps/>
        </w:rPr>
      </w:pPr>
    </w:p>
    <w:p w:rsidR="00A77B3E" w:rsidRDefault="00911B01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Uchwała Nr XLVI/372/22</w:t>
      </w:r>
      <w:r>
        <w:rPr>
          <w:b/>
          <w:caps/>
        </w:rPr>
        <w:br/>
        <w:t>Rady Powiatu we Włocławku</w:t>
      </w:r>
    </w:p>
    <w:p w:rsidR="00A77B3E" w:rsidRDefault="00911B01">
      <w:pPr>
        <w:spacing w:before="280" w:after="280" w:line="276" w:lineRule="auto"/>
        <w:jc w:val="center"/>
        <w:rPr>
          <w:b/>
          <w:caps/>
        </w:rPr>
      </w:pPr>
      <w:r>
        <w:t>z dnia 28 września 2022 r.</w:t>
      </w:r>
    </w:p>
    <w:p w:rsidR="00A77B3E" w:rsidRDefault="00911B01">
      <w:pPr>
        <w:keepNext/>
        <w:spacing w:after="480" w:line="276" w:lineRule="auto"/>
        <w:jc w:val="center"/>
      </w:pPr>
      <w:r>
        <w:rPr>
          <w:b/>
        </w:rPr>
        <w:t>w sprawie pozostawienia bez rozpatrzenia ponownej petycji dotyczącej "strefy ciszy" na Jeziorze Ługowiska</w:t>
      </w:r>
    </w:p>
    <w:p w:rsidR="00A77B3E" w:rsidRDefault="00911B01">
      <w:pPr>
        <w:keepLines/>
        <w:spacing w:before="120" w:after="120"/>
        <w:ind w:firstLine="227"/>
      </w:pPr>
      <w:r>
        <w:t>Na podstawie art. 9 ust. 2 i art. 12 ustawy z dnia 11 lipca 2014 r. o petycjach (Dz. U. z 2018 r. poz. 870), uchwala się, co następuje:</w:t>
      </w:r>
    </w:p>
    <w:p w:rsidR="00A77B3E" w:rsidRDefault="00911B01">
      <w:pPr>
        <w:keepLines/>
        <w:spacing w:before="120" w:after="120"/>
        <w:ind w:firstLine="340"/>
      </w:pPr>
      <w:r>
        <w:rPr>
          <w:b/>
        </w:rPr>
        <w:t>§ 1. </w:t>
      </w:r>
      <w:r>
        <w:t>Pozostawia się bez rozpatrzenia ponowną petycję w sprawie ograniczenia lub zakazie używania jednostek pływających lub niektórych ich rodzajów na określonych zbiornikach powierzchniowych wód stojących oraz wodach płynących, na podstawie art. 116 ustawy z dnia 27 kwietnia 2001 r. Prawo ochrony środowiska.</w:t>
      </w:r>
    </w:p>
    <w:p w:rsidR="00A77B3E" w:rsidRDefault="00911B01">
      <w:pPr>
        <w:keepLines/>
        <w:spacing w:before="120" w:after="120"/>
        <w:ind w:firstLine="340"/>
      </w:pPr>
      <w:r>
        <w:rPr>
          <w:b/>
        </w:rPr>
        <w:t>§ 2. </w:t>
      </w:r>
      <w:r>
        <w:t>Upoważnia się Przewodniczącego Rady Powiatu we Włocławku do zawiadomienia wnoszącego petycję o sposobie załatwienia petycji wraz z uzasadnieniem.</w:t>
      </w:r>
    </w:p>
    <w:p w:rsidR="00A77B3E" w:rsidRDefault="00911B01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28 września 2022 r.</w:t>
      </w:r>
      <w:bookmarkStart w:id="0" w:name="_GoBack"/>
      <w:bookmarkEnd w:id="0"/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911B0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016D8" w:rsidTr="00911B0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6D8" w:rsidRDefault="005016D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016D8" w:rsidRDefault="009445AF" w:rsidP="009445AF">
            <w:pPr>
              <w:keepNext/>
              <w:keepLines/>
              <w:spacing w:before="560" w:after="560"/>
              <w:ind w:left="1134" w:right="1134" w:hanging="96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</w:p>
          <w:p w:rsidR="009445AF" w:rsidRDefault="009445AF" w:rsidP="009445AF">
            <w:pPr>
              <w:keepNext/>
              <w:keepLines/>
              <w:spacing w:before="560" w:after="560"/>
              <w:ind w:left="1134" w:right="1134" w:hanging="96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Zygmunt Stanisław </w:t>
            </w:r>
            <w:proofErr w:type="spellStart"/>
            <w:r>
              <w:rPr>
                <w:color w:val="000000"/>
                <w:szCs w:val="22"/>
              </w:rPr>
              <w:t>Wierzowiecki</w:t>
            </w:r>
            <w:proofErr w:type="spellEnd"/>
            <w:r>
              <w:rPr>
                <w:color w:val="000000"/>
                <w:szCs w:val="22"/>
              </w:rPr>
              <w:t xml:space="preserve"> 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5016D8" w:rsidRDefault="005016D8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5016D8" w:rsidRDefault="00911B01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5016D8" w:rsidRDefault="005016D8">
      <w:pPr>
        <w:spacing w:line="360" w:lineRule="auto"/>
        <w:jc w:val="left"/>
        <w:rPr>
          <w:color w:val="000000"/>
          <w:szCs w:val="20"/>
          <w:shd w:val="clear" w:color="auto" w:fill="FFFFFF"/>
        </w:rPr>
      </w:pPr>
    </w:p>
    <w:p w:rsidR="005016D8" w:rsidRDefault="00911B01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 dniu 26 sierpnia 2022 r. wpłynęło do Kancelarii Starostwa Powiatowego we Włocławku pismo zawierające prośbę o interwencję i ustanowienie strefy ciszy na Jezierze Ługowiska. W dniu 31 sierpnia 2022 r. Przewodniczący Rady poinformował wnioskodawcę, iż pismo zostało zakwalifikowane jako petycja, o czym stanowi przepis art. 2 ust. 3 ustawy z dnia 11 lipca 2014 r. o petycjach oraz skierował petycję na posiedzenie Komisji Skarg, Wniosków i Petycji Rady Powiatu we Włocławku.   </w:t>
      </w:r>
    </w:p>
    <w:p w:rsidR="005016D8" w:rsidRDefault="00911B01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Przedmiotem petycji może być żądanie,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</w:p>
    <w:p w:rsidR="005016D8" w:rsidRDefault="00911B01">
      <w:pPr>
        <w:spacing w:line="360" w:lineRule="auto"/>
        <w:ind w:firstLine="720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Wnioskodawca stwierdził, że nad Jeziorem Ługowiska jest hałas, którego źródłem są silniki spalinowe skuterów wodnych i łodzi motorowych, uniemożliwia spokojny odpoczynek i wędkowanie. Akwen jest niewielki (maksymalna szerokość 440 m). Amatorzy skuterów podpływają bardzo blisko linii brzegowej, "robią fale" i ekwilibrystyczne figury, często wpływają w łowiska wędkarzy nie bacząc na pozostałych miłośników rekreacji i odpoczynku. Poziom hałasu jest zawsze bardzo duży, prawie zawsze przekracza 45dB. Bardzo często, bawiąc się blisko linii brzegowej, "ubijają i gniotą" wodę, przerażają ptactwo wodne i inne zwierzęta, które uciekają w trzciny, gdzie są ich gniazda i lęgowiska. Jezioro Ługowiska jest użytkowane przez wszystkich okolicznych amatorów sportów wodnych, gdyż w okolicznych jeziorach  są wyznaczone „strefy ciszy". </w:t>
      </w:r>
    </w:p>
    <w:p w:rsidR="005016D8" w:rsidRDefault="00911B01">
      <w:pPr>
        <w:spacing w:before="20" w:after="20"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</w:rPr>
        <w:t>Podkreślić należy, że z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asady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składania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rozpatrywania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postępowania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organów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 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sprawach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dotyczących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zostały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uregulowane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11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lipca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2014 r.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Z art. 4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wynika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składa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pisemnej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pomocą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elektronicznej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która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zawierać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:</w:t>
      </w:r>
    </w:p>
    <w:p w:rsidR="005016D8" w:rsidRDefault="00911B01">
      <w:pPr>
        <w:spacing w:before="20" w:after="20"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1)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oznaczenie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;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oznaczenie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każdego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reprezentującą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;</w:t>
      </w:r>
    </w:p>
    <w:p w:rsidR="005016D8" w:rsidRDefault="00911B01">
      <w:pPr>
        <w:spacing w:before="20" w:after="20"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2)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albo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siedziby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adresu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do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korespondencji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;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należy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miejsce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zamieszkania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siedzibę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każdego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;</w:t>
      </w:r>
    </w:p>
    <w:p w:rsidR="005016D8" w:rsidRDefault="00911B01">
      <w:pPr>
        <w:spacing w:before="20" w:after="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3)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oznaczenie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adresata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;</w:t>
      </w:r>
    </w:p>
    <w:p w:rsidR="005016D8" w:rsidRDefault="00911B01">
      <w:pPr>
        <w:spacing w:before="20" w:after="20" w:line="360" w:lineRule="auto"/>
        <w:jc w:val="left"/>
        <w:rPr>
          <w:color w:val="000000"/>
          <w:szCs w:val="20"/>
          <w:shd w:val="clear" w:color="auto" w:fill="FFFFFF"/>
          <w:lang w:val="en-US" w:eastAsia="en-US" w:bidi="en-US"/>
        </w:rPr>
      </w:pPr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4)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wskazanie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016D8" w:rsidRDefault="00911B01">
      <w:pPr>
        <w:spacing w:before="20" w:after="20" w:line="360" w:lineRule="auto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zawierać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ujawnienie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stronie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internetowej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rozpatrującego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urzędu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go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obsługującego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danych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osobowych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trzeciego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składana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w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formie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pisemnej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podpisana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a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jeżeli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jest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fizyczna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lub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gdy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grupa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-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osobę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lastRenderedPageBreak/>
        <w:t>reprezentującą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składana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pomocą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środków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komunikacji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elektronicznej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opatrzona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kwalifikowanym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podpisem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elektronicznym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oraz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powinna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zawierać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także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adres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poczty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elektronicznej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podmiotu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wnoszącego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petycję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>.</w:t>
      </w:r>
    </w:p>
    <w:p w:rsidR="005016D8" w:rsidRDefault="00911B01">
      <w:pPr>
        <w:tabs>
          <w:tab w:val="left" w:pos="993"/>
        </w:tabs>
        <w:spacing w:before="20" w:after="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W dniu 16 września 2022 r. odbyło się posiedzenie Komisji Skarg, Wniosków i Petycji.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Komisja zgodnie z zapisami paragrafu 63d ust. 3 Statutu Powiatu Włocławskiego </w:t>
      </w:r>
      <w:r>
        <w:rPr>
          <w:color w:val="000000"/>
          <w:szCs w:val="20"/>
          <w:shd w:val="clear" w:color="auto" w:fill="FFFFFF"/>
        </w:rPr>
        <w:t xml:space="preserve">(Dz. Urz. Woj. Kuj. - Pom. z 2021 r. poz. 1310)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ustaliła stan faktyczny sprawy i na </w:t>
      </w:r>
      <w:r>
        <w:rPr>
          <w:color w:val="000000"/>
          <w:szCs w:val="20"/>
          <w:shd w:val="clear" w:color="auto" w:fill="FFFFFF"/>
        </w:rPr>
        <w:t xml:space="preserve">swoim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posiedzeniu przyjęła projekt rozstrzygnięcia rady. </w:t>
      </w:r>
    </w:p>
    <w:p w:rsidR="005016D8" w:rsidRDefault="00911B01">
      <w:pPr>
        <w:tabs>
          <w:tab w:val="left" w:pos="993"/>
        </w:tabs>
        <w:spacing w:before="20" w:after="20"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 xml:space="preserve">Komisja ustaliła, że w tej samej sprawie była już rozpatrzona petycja, tj.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właściciel</w:t>
      </w:r>
      <w:r>
        <w:rPr>
          <w:color w:val="000000"/>
          <w:szCs w:val="20"/>
          <w:shd w:val="clear" w:color="auto" w:fill="FFFFFF"/>
        </w:rPr>
        <w:t>i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działek rekreacyjnych </w:t>
      </w:r>
      <w:r>
        <w:rPr>
          <w:color w:val="000000"/>
          <w:szCs w:val="20"/>
          <w:shd w:val="clear" w:color="auto" w:fill="FFFFFF"/>
        </w:rPr>
        <w:t xml:space="preserve">zlokalizowanych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nad Jeziorem Ługowiska</w:t>
      </w:r>
      <w:r>
        <w:rPr>
          <w:color w:val="000000"/>
          <w:szCs w:val="20"/>
          <w:shd w:val="clear" w:color="auto" w:fill="FFFFFF"/>
        </w:rPr>
        <w:t>, którzy złożyli petycję w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dniu 18 czerwca 2021 r. </w:t>
      </w:r>
      <w:r>
        <w:rPr>
          <w:color w:val="000000"/>
          <w:szCs w:val="20"/>
          <w:shd w:val="clear" w:color="auto" w:fill="FFFFFF"/>
        </w:rPr>
        <w:t>a dotyczącą  wprowadzenia na tym jeziorze "strefy ciszy".  Petycja złożona przez wnioskodawcę w dniu 23 sierpnia 2022 r., mimo że jest od innego podmiotu, ale jest tożsama  z rozpatrzoną już petycją przez Radę Powiatu we Włocławku w dniu 30 września 2021 r.  Stosownie zatem do przepisów art. 12 ustawy o petycjach, stwierdzić należy, że p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odmiot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właściwy do rozpatrzenia petycji </w:t>
      </w:r>
      <w:r>
        <w:rPr>
          <w:color w:val="000000"/>
          <w:szCs w:val="20"/>
          <w:shd w:val="clear" w:color="auto" w:fill="FFFFFF"/>
        </w:rPr>
        <w:t xml:space="preserve">(Rada Powiatu)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może pozostawić bez rozpatrzenia petycję złożoną w sprawie,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która była przedmiotem petycji już rozpatrzonej przez ten podmiot, jeżeli w petycji nie powołano się na nowe fakty lub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dowody nieznane podmiotowi właściwemu do rozpatrzenia petycji.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 </w:t>
      </w:r>
      <w:r>
        <w:rPr>
          <w:color w:val="000000"/>
          <w:szCs w:val="20"/>
          <w:shd w:val="clear" w:color="auto" w:fill="FFFFFF"/>
        </w:rPr>
        <w:t xml:space="preserve">takim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przypadku, podmiot właściwy do rozpatrzenia petycji niezwłocznie informuje podmiot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wnoszący petycję o pozostawieniu petycji bez rozpatrzenia i poprzednim sposobie załatwienia petycji.</w:t>
      </w:r>
      <w:r>
        <w:rPr>
          <w:color w:val="000000"/>
          <w:szCs w:val="20"/>
          <w:shd w:val="clear" w:color="auto" w:fill="FFFFFF"/>
        </w:rPr>
        <w:t xml:space="preserve"> Stwierdzić należy, że nie pojawiły się nowe fakty, które d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otyczą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zarówno przedmiotu petycji, jak i niekiedy subtelnie powiązanych z nim aspektów podmiotowych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Miarą przesłanki nowości faktów i dowodów jest ich odmienność od stanu z chwili rozpatrzenia poprzedniej petycji</w:t>
      </w:r>
      <w:r>
        <w:rPr>
          <w:color w:val="000000"/>
          <w:szCs w:val="20"/>
          <w:shd w:val="clear" w:color="auto" w:fill="FFFFFF"/>
        </w:rPr>
        <w:t>. S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prawa poruszona przez </w:t>
      </w:r>
      <w:r>
        <w:rPr>
          <w:color w:val="000000"/>
          <w:szCs w:val="20"/>
          <w:shd w:val="clear" w:color="auto" w:fill="FFFFFF"/>
        </w:rPr>
        <w:t>wnioskodawcę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w petycji była już przedmiotem merytorycznej oceny</w:t>
      </w:r>
      <w:r>
        <w:rPr>
          <w:color w:val="000000"/>
          <w:szCs w:val="20"/>
          <w:shd w:val="clear" w:color="auto" w:fill="FFFFFF"/>
        </w:rPr>
        <w:t xml:space="preserve"> przez Radę Powiatu we Włocławku. </w:t>
      </w:r>
    </w:p>
    <w:p w:rsidR="005016D8" w:rsidRDefault="00911B01">
      <w:pPr>
        <w:tabs>
          <w:tab w:val="left" w:pos="993"/>
        </w:tabs>
        <w:spacing w:before="20" w:after="20"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 xml:space="preserve">Informuje się, że Rada Powiatu we Włocławku w dniu 30 września 2021 r. podjęła uchwałę Nr XXXII/271/21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sprawie rozpatrzenia petycji posiadaczy działek rekreacyjnych zlokalizowanych nad Jeziorem Ługowiska dotyczącej wprowadzenia "strefy ciszy" na</w:t>
      </w:r>
      <w:r>
        <w:rPr>
          <w:color w:val="000000"/>
          <w:szCs w:val="20"/>
          <w:shd w:val="clear" w:color="auto" w:fill="FFFFFF"/>
        </w:rPr>
        <w:t xml:space="preserve"> tym </w:t>
      </w:r>
      <w:r>
        <w:rPr>
          <w:color w:val="000000"/>
          <w:szCs w:val="20"/>
          <w:shd w:val="clear" w:color="auto" w:fill="FFFFFF"/>
          <w:lang w:val="x-none" w:eastAsia="en-US" w:bidi="ar-SA"/>
        </w:rPr>
        <w:t>akweni</w:t>
      </w:r>
      <w:r>
        <w:rPr>
          <w:color w:val="000000"/>
          <w:szCs w:val="20"/>
          <w:shd w:val="clear" w:color="auto" w:fill="FFFFFF"/>
        </w:rPr>
        <w:t xml:space="preserve">e. Rada Powiatu uznała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petycję posiadaczy działek rekreacyjnych zlokalizowanych nad Jeziorem Ługowiska</w:t>
      </w:r>
      <w:r>
        <w:rPr>
          <w:color w:val="000000"/>
          <w:szCs w:val="20"/>
          <w:shd w:val="clear" w:color="auto" w:fill="FFFFFF"/>
        </w:rPr>
        <w:t xml:space="preserve"> za zasadną</w:t>
      </w:r>
      <w:r>
        <w:rPr>
          <w:color w:val="000000"/>
          <w:szCs w:val="20"/>
          <w:shd w:val="clear" w:color="auto" w:fill="FFFFFF"/>
          <w:lang w:val="x-none" w:eastAsia="en-US" w:bidi="ar-SA"/>
        </w:rPr>
        <w:t>, nie przesądzając jednak o zasadności podjęcia uchwały o ograniczeniu lub zakazie używania jednostek pływających lub niektórych ich rodzajów na określonych zbiornikach powierzchniowych wód stojących oraz wodach płynących, na podstawie art. 116 ustawy z dnia 27 kwietnia 2001 r. Prawo ochrony środowiska do czasu przeprowadzenia przez odpowiednie służby i organy niezbędnych badań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 konsultacji dotyczących warunków akustycznych nad w/w zbiornikiem wodnym.</w:t>
      </w:r>
      <w:r>
        <w:rPr>
          <w:color w:val="000000"/>
          <w:szCs w:val="20"/>
          <w:shd w:val="clear" w:color="auto" w:fill="FFFFFF"/>
        </w:rPr>
        <w:t xml:space="preserve"> </w:t>
      </w:r>
    </w:p>
    <w:p w:rsidR="005016D8" w:rsidRDefault="00911B01">
      <w:pPr>
        <w:tabs>
          <w:tab w:val="left" w:pos="993"/>
        </w:tabs>
        <w:spacing w:before="20" w:after="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ab/>
        <w:t xml:space="preserve">W dniu 3 sierpnia 2022 r. została podpisana umowa na wykonanie pomiarów hałasu emitowanego do środowiska. Umowa przewiduje wykonywanie pomiarów hałasu w środowisku w porze dnia i nocy, w dwóch punktach pomiarowych (zgodnie z Rozporządzeniem Ministra Klimatu i Środowiska z dnia 7 września 2021 r. w sprawie wymagań w zakresie prowadzenia pomiarów wielkości emisji) usytuowanych na terenach sąsiadujących z Jeziorem Ługowiska w okresie sierpień - wrzesień (dwa weekendy w miesiącu). Z badań zostaną opracowane wyniki pomiarów oraz sporządzone zostanie sprawozdanie z badań hałasu, które zostanie przedstawione Zarządowi Powiatu. Zostaną wówczas </w:t>
      </w: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zweryfikowa</w:t>
      </w:r>
      <w:r>
        <w:rPr>
          <w:color w:val="000000"/>
          <w:szCs w:val="20"/>
          <w:shd w:val="clear" w:color="auto" w:fill="FFFFFF"/>
        </w:rPr>
        <w:t>ne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przesłanki wprowadzenia zakazu używania jednostek pływających, napędzanych silnikami spalinowymi, na wodach Jeziora Ługowiska. </w:t>
      </w:r>
    </w:p>
    <w:p w:rsidR="005016D8" w:rsidRDefault="00911B01">
      <w:pPr>
        <w:keepNext/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ab/>
        <w:t xml:space="preserve">Informuję, że ze sposobem załatwienia rozpatrzonej petycji w sprawie „strefy ciszy" na Jeziorze Ługowiska można zapoznać się na stronie BIP Starostwa Powiatowego we Włocławku, w zakładce akty prawne: uchwała Nr XXXII/271/21 Rady Powiatu we Włocławku z dnia 30 września 2021 r.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sprawie rozpatrzenia petycji posiadaczy działek rekreacyjnych zlokalizowanych nad Jeziorem Ługowiska dotyczącej wprowadzenia "strefy ciszy" na akwenie</w:t>
      </w:r>
      <w:r>
        <w:rPr>
          <w:color w:val="000000"/>
          <w:szCs w:val="20"/>
          <w:shd w:val="clear" w:color="auto" w:fill="FFFFFF"/>
        </w:rPr>
        <w:t>, link do strony:</w:t>
      </w:r>
    </w:p>
    <w:p w:rsidR="005016D8" w:rsidRDefault="00911B01">
      <w:pPr>
        <w:tabs>
          <w:tab w:val="left" w:pos="993"/>
        </w:tabs>
        <w:spacing w:before="20" w:after="20"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https://pow-wloclawski.rbip.mojregion.info/wp-content/uploads/sites/209/2021/10/uchwa%C5%82a-nr-271.pdf</w:t>
      </w:r>
      <w:r>
        <w:rPr>
          <w:color w:val="000000"/>
          <w:szCs w:val="20"/>
          <w:shd w:val="clear" w:color="auto" w:fill="FFFFFF"/>
        </w:rPr>
        <w:tab/>
      </w:r>
    </w:p>
    <w:p w:rsidR="005016D8" w:rsidRDefault="00911B01">
      <w:pPr>
        <w:tabs>
          <w:tab w:val="left" w:pos="993"/>
        </w:tabs>
        <w:spacing w:before="20" w:after="20"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ab/>
        <w:t>Niniejsza uchwała wraz z jej uzasadnieniem stanowi zawiadomienie o sposobie załatwienia petycji w rozumieniu art. 13 ust. 1 ustawy z dnia 11 lipca 2014 r. o petycjach (Dz. U. z 2018 r. poz. 870) i zostanie ona doręczona osobie wnoszącej petycję w formie pisemnej.</w:t>
      </w:r>
    </w:p>
    <w:p w:rsidR="005016D8" w:rsidRDefault="00911B01">
      <w:pPr>
        <w:spacing w:before="20" w:after="20" w:line="360" w:lineRule="auto"/>
        <w:ind w:firstLine="720"/>
        <w:rPr>
          <w:color w:val="000000"/>
          <w:szCs w:val="20"/>
          <w:shd w:val="clear" w:color="auto" w:fill="FFFFFF"/>
          <w:lang w:val="en-US" w:eastAsia="en-US" w:bidi="en-US"/>
        </w:rPr>
      </w:pP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Zgodnie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z art. 13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2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ustawy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o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petycjach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,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sposób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załatwienia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petycji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nie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może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być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przedmiotem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 </w:t>
      </w:r>
      <w:proofErr w:type="spellStart"/>
      <w:r>
        <w:rPr>
          <w:color w:val="000000"/>
          <w:szCs w:val="20"/>
          <w:shd w:val="clear" w:color="auto" w:fill="FFFFFF"/>
          <w:lang w:val="en-US" w:eastAsia="en-US" w:bidi="en-US"/>
        </w:rPr>
        <w:t>skargi</w:t>
      </w:r>
      <w:proofErr w:type="spellEnd"/>
      <w:r>
        <w:rPr>
          <w:color w:val="000000"/>
          <w:szCs w:val="20"/>
          <w:shd w:val="clear" w:color="auto" w:fill="FFFFFF"/>
          <w:lang w:val="en-US" w:eastAsia="en-US" w:bidi="en-US"/>
        </w:rPr>
        <w:t xml:space="preserve">. </w:t>
      </w:r>
    </w:p>
    <w:p w:rsidR="005016D8" w:rsidRDefault="005016D8">
      <w:pPr>
        <w:spacing w:before="20" w:after="20" w:line="360" w:lineRule="auto"/>
        <w:ind w:firstLine="720"/>
        <w:rPr>
          <w:color w:val="000000"/>
          <w:szCs w:val="20"/>
          <w:shd w:val="clear" w:color="auto" w:fill="FFFFFF"/>
          <w:lang w:val="en-US" w:eastAsia="en-US" w:bidi="en-US"/>
        </w:rPr>
      </w:pPr>
    </w:p>
    <w:p w:rsidR="005016D8" w:rsidRDefault="005016D8">
      <w:pPr>
        <w:spacing w:before="20" w:after="20" w:line="360" w:lineRule="auto"/>
        <w:ind w:firstLine="720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5016D8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FD" w:rsidRDefault="00911B01">
      <w:r>
        <w:separator/>
      </w:r>
    </w:p>
  </w:endnote>
  <w:endnote w:type="continuationSeparator" w:id="0">
    <w:p w:rsidR="002213FD" w:rsidRDefault="0091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016D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6D8" w:rsidRDefault="00911B01">
          <w:pPr>
            <w:jc w:val="left"/>
            <w:rPr>
              <w:sz w:val="18"/>
            </w:rPr>
          </w:pPr>
          <w:r>
            <w:rPr>
              <w:sz w:val="18"/>
            </w:rPr>
            <w:t>Id: 8C13B2B3-CA01-4C61-B1F6-296151BEC825.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6D8" w:rsidRDefault="00911B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45A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016D8" w:rsidRDefault="005016D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5016D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6D8" w:rsidRDefault="00911B01">
          <w:pPr>
            <w:jc w:val="left"/>
            <w:rPr>
              <w:sz w:val="18"/>
            </w:rPr>
          </w:pPr>
          <w:r>
            <w:rPr>
              <w:sz w:val="18"/>
            </w:rPr>
            <w:t>Id: 8C13B2B3-CA01-4C61-B1F6-296151BEC825. Uchwalony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016D8" w:rsidRDefault="00911B0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45AF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5016D8" w:rsidRDefault="005016D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FD" w:rsidRDefault="00911B01">
      <w:r>
        <w:separator/>
      </w:r>
    </w:p>
  </w:footnote>
  <w:footnote w:type="continuationSeparator" w:id="0">
    <w:p w:rsidR="002213FD" w:rsidRDefault="00911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213FD"/>
    <w:rsid w:val="005016D8"/>
    <w:rsid w:val="00911B01"/>
    <w:rsid w:val="009445A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we Włocławku</Company>
  <LinksUpToDate>false</LinksUpToDate>
  <CharactersWithSpaces>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XLVI/372/22 z dnia 28 września 2022 r.</dc:title>
  <dc:subject>w sprawie pozostawienia bez rozpatrzenia ponownej petycji dotyczącej "strefy ciszy" na Jeziorze Ługowiska</dc:subject>
  <dc:creator>k.dabrowska</dc:creator>
  <cp:lastModifiedBy>Katarzyna Dąbrowska - Czerwińska</cp:lastModifiedBy>
  <cp:revision>3</cp:revision>
  <dcterms:created xsi:type="dcterms:W3CDTF">2022-09-27T14:10:00Z</dcterms:created>
  <dcterms:modified xsi:type="dcterms:W3CDTF">2022-10-10T11:05:00Z</dcterms:modified>
  <cp:category>Akt prawny</cp:category>
</cp:coreProperties>
</file>